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-398" w:tblpY="1519"/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7"/>
      </w:tblGrid>
      <w:tr w:rsidR="00685A22" w:rsidTr="005927D5">
        <w:trPr>
          <w:cantSplit/>
          <w:trHeight w:val="1141"/>
        </w:trPr>
        <w:tc>
          <w:tcPr>
            <w:tcW w:w="9667" w:type="dxa"/>
            <w:tcBorders>
              <w:bottom w:val="thinThickSmallGap" w:sz="24" w:space="0" w:color="FF0000"/>
            </w:tcBorders>
          </w:tcPr>
          <w:p w:rsidR="00685A22" w:rsidRPr="004629C9" w:rsidRDefault="00685A22" w:rsidP="005927D5">
            <w:pPr>
              <w:tabs>
                <w:tab w:val="left" w:pos="2410"/>
              </w:tabs>
              <w:spacing w:line="1100" w:lineRule="exact"/>
              <w:ind w:firstLineChars="150" w:firstLine="480"/>
              <w:rPr>
                <w:rFonts w:ascii="方正黑体_GBK" w:eastAsia="方正黑体_GBK" w:hAnsi="华文中宋" w:hint="eastAsia"/>
                <w:bCs/>
                <w:color w:val="000000"/>
                <w:kern w:val="2"/>
              </w:rPr>
            </w:pPr>
            <w:r w:rsidRPr="004629C9">
              <w:rPr>
                <w:rFonts w:ascii="方正黑体_GBK" w:eastAsia="方正黑体_GBK" w:hAnsi="华文中宋" w:hint="eastAsia"/>
                <w:bCs/>
                <w:color w:val="000000"/>
                <w:kern w:val="2"/>
              </w:rPr>
              <w:t>附件1</w:t>
            </w:r>
          </w:p>
          <w:p w:rsidR="00685A22" w:rsidRDefault="00685A22" w:rsidP="005927D5">
            <w:pPr>
              <w:tabs>
                <w:tab w:val="left" w:pos="2410"/>
              </w:tabs>
              <w:spacing w:line="1100" w:lineRule="exact"/>
              <w:jc w:val="center"/>
              <w:rPr>
                <w:rFonts w:ascii="方正小标宋简体" w:eastAsia="方正小标宋简体" w:hAnsi="华文中宋" w:hint="eastAsia"/>
                <w:bCs/>
                <w:color w:val="FF0000"/>
                <w:kern w:val="2"/>
                <w:sz w:val="72"/>
                <w:szCs w:val="72"/>
              </w:rPr>
            </w:pPr>
            <w:r>
              <w:rPr>
                <w:rFonts w:ascii="方正小标宋简体" w:eastAsia="方正小标宋简体" w:hAnsi="华文中宋"/>
                <w:bCs/>
                <w:color w:val="FF0000"/>
                <w:kern w:val="2"/>
                <w:sz w:val="72"/>
                <w:szCs w:val="72"/>
              </w:rPr>
              <w:fldChar w:fldCharType="begin">
                <w:ffData>
                  <w:name w:val="fldWenTou1"/>
                  <w:enabled w:val="0"/>
                  <w:calcOnExit w:val="0"/>
                  <w:textInput>
                    <w:default w:val="国家知识产权局办公室"/>
                    <w:maxLength w:val="60"/>
                  </w:textInput>
                </w:ffData>
              </w:fldChar>
            </w:r>
            <w:r>
              <w:rPr>
                <w:rFonts w:ascii="方正小标宋简体" w:eastAsia="方正小标宋简体" w:hAnsi="华文中宋"/>
                <w:bCs/>
                <w:color w:val="FF0000"/>
                <w:kern w:val="2"/>
                <w:sz w:val="72"/>
                <w:szCs w:val="72"/>
              </w:rPr>
              <w:instrText xml:space="preserve"> FORMTEXT </w:instrText>
            </w:r>
            <w:r>
              <w:rPr>
                <w:rFonts w:ascii="方正小标宋简体" w:eastAsia="方正小标宋简体" w:hAnsi="华文中宋"/>
                <w:bCs/>
                <w:color w:val="FF0000"/>
                <w:kern w:val="2"/>
                <w:sz w:val="72"/>
                <w:szCs w:val="72"/>
              </w:rPr>
            </w:r>
            <w:r>
              <w:rPr>
                <w:rFonts w:ascii="方正小标宋简体" w:eastAsia="方正小标宋简体" w:hAnsi="华文中宋"/>
                <w:bCs/>
                <w:color w:val="FF0000"/>
                <w:kern w:val="2"/>
                <w:sz w:val="72"/>
                <w:szCs w:val="72"/>
              </w:rPr>
              <w:fldChar w:fldCharType="separate"/>
            </w:r>
            <w:r>
              <w:rPr>
                <w:rFonts w:ascii="方正小标宋简体" w:eastAsia="方正小标宋简体" w:hAnsi="华文中宋"/>
                <w:bCs/>
                <w:color w:val="FF0000"/>
                <w:kern w:val="2"/>
                <w:sz w:val="72"/>
                <w:szCs w:val="72"/>
                <w:lang w:val="en-US" w:eastAsia="zh-CN"/>
              </w:rPr>
              <w:t>国家知识产权局办公室</w:t>
            </w:r>
            <w:r>
              <w:rPr>
                <w:rFonts w:ascii="方正小标宋简体" w:eastAsia="方正小标宋简体" w:hAnsi="华文中宋"/>
                <w:bCs/>
                <w:color w:val="FF0000"/>
                <w:kern w:val="2"/>
                <w:sz w:val="72"/>
                <w:szCs w:val="72"/>
              </w:rPr>
              <w:fldChar w:fldCharType="end"/>
            </w:r>
          </w:p>
        </w:tc>
      </w:tr>
      <w:tr w:rsidR="00685A22" w:rsidTr="005927D5">
        <w:trPr>
          <w:cantSplit/>
          <w:trHeight w:val="567"/>
        </w:trPr>
        <w:tc>
          <w:tcPr>
            <w:tcW w:w="9667" w:type="dxa"/>
            <w:tcBorders>
              <w:top w:val="thinThickSmallGap" w:sz="36" w:space="0" w:color="FF0000"/>
            </w:tcBorders>
            <w:vAlign w:val="center"/>
          </w:tcPr>
          <w:p w:rsidR="00685A22" w:rsidRDefault="00685A22" w:rsidP="005927D5">
            <w:pPr>
              <w:tabs>
                <w:tab w:val="left" w:pos="2410"/>
              </w:tabs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国知</w:t>
            </w:r>
            <w:proofErr w:type="gramStart"/>
            <w:r>
              <w:rPr>
                <w:rFonts w:hint="eastAsia"/>
              </w:rPr>
              <w:t>办函服字</w:t>
            </w:r>
            <w:proofErr w:type="gramEnd"/>
            <w:r>
              <w:rPr>
                <w:rFonts w:hint="eastAsia"/>
              </w:rPr>
              <w:t xml:space="preserve">〔2023〕283号  </w:t>
            </w:r>
          </w:p>
        </w:tc>
      </w:tr>
    </w:tbl>
    <w:p w:rsidR="00685A22" w:rsidRDefault="00685A22" w:rsidP="00685A22">
      <w:pPr>
        <w:spacing w:line="660" w:lineRule="exact"/>
        <w:rPr>
          <w:rFonts w:ascii="方正小标宋简体" w:eastAsia="方正小标宋简体" w:hAnsi="方正小标宋简体" w:cs="方正小标宋简体" w:hint="eastAsia"/>
        </w:rPr>
      </w:pPr>
    </w:p>
    <w:p w:rsidR="00685A22" w:rsidRDefault="00685A22" w:rsidP="00685A22">
      <w:pPr>
        <w:spacing w:line="6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国家知识产权局办公室关于启动第二期第一批技术与创新支持中心（TISC）筹建机构</w:t>
      </w:r>
    </w:p>
    <w:p w:rsidR="00685A22" w:rsidRDefault="00685A22" w:rsidP="00685A22">
      <w:pPr>
        <w:spacing w:line="6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推荐工作的通知</w:t>
      </w:r>
    </w:p>
    <w:p w:rsidR="00685A22" w:rsidRDefault="00685A22" w:rsidP="00685A22">
      <w:pPr>
        <w:spacing w:line="660" w:lineRule="exact"/>
        <w:ind w:firstLineChars="200" w:firstLine="880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685A22" w:rsidRDefault="00685A22" w:rsidP="00685A22">
      <w:pPr>
        <w:rPr>
          <w:rFonts w:hint="eastAsia"/>
        </w:rPr>
      </w:pPr>
      <w:r>
        <w:rPr>
          <w:rFonts w:hint="eastAsia"/>
        </w:rPr>
        <w:t>各省、自治区、直辖市和新疆生产建设兵团知识产权局，四川省知识产权服务促进中心，各地方有关中心：</w:t>
      </w:r>
    </w:p>
    <w:p w:rsidR="00685A22" w:rsidRDefault="00685A22" w:rsidP="00685A22">
      <w:pPr>
        <w:ind w:firstLineChars="200" w:firstLine="640"/>
        <w:rPr>
          <w:rFonts w:hint="eastAsia"/>
        </w:rPr>
      </w:pPr>
      <w:r>
        <w:rPr>
          <w:rFonts w:hint="eastAsia"/>
        </w:rPr>
        <w:t>为贯彻习近平总书记“要形成便民利民的知识产权公共服务体系，让创新成果更好惠及人民”的重要指示精神，落实《知识产权强国建设纲要（</w:t>
      </w:r>
      <w:r>
        <w:t>2021</w:t>
      </w:r>
      <w:r>
        <w:rPr>
          <w:rFonts w:hint="eastAsia"/>
        </w:rPr>
        <w:t>—2035年）》《“十四五”国家知识产权保护和运用规划》《知识产权公共服务“十四五”规划》相关工作部署，健全完善全国知识产权信息公共服务重要网点，根据《技术与创新支持中心（TISC）建设实施办法》（国知</w:t>
      </w:r>
      <w:proofErr w:type="gramStart"/>
      <w:r>
        <w:rPr>
          <w:rFonts w:hint="eastAsia"/>
        </w:rPr>
        <w:t>办发服字</w:t>
      </w:r>
      <w:proofErr w:type="gramEnd"/>
      <w:r>
        <w:rPr>
          <w:rFonts w:hint="eastAsia"/>
        </w:rPr>
        <w:t>〔2019〕27号，以下简称《办法》），现开展第二期第一批技术与创新支持中心（TISC，以下简称TISC）筹建机构推荐工作。TISC是世界知识产权组织（WIPO，以下简称WIPO）发展议程框架下的项目，旨在帮助发展中国家的知识产权和创新用户提升技术信息检索能力，更快掌握行业动态和新技术信息，增强创新能力。</w:t>
      </w:r>
    </w:p>
    <w:p w:rsidR="00685A22" w:rsidRDefault="00685A22" w:rsidP="00685A22">
      <w:pPr>
        <w:widowControl/>
        <w:spacing w:line="540" w:lineRule="exact"/>
        <w:ind w:firstLineChars="200" w:firstLine="640"/>
        <w:rPr>
          <w:rFonts w:ascii="黑体" w:eastAsia="黑体" w:hAnsi="黑体"/>
        </w:rPr>
      </w:pPr>
      <w:r>
        <w:rPr>
          <w:rFonts w:ascii="黑体" w:eastAsia="黑体" w:hAnsi="黑体"/>
        </w:rPr>
        <w:t>一、遴选原则</w:t>
      </w:r>
    </w:p>
    <w:p w:rsidR="00685A22" w:rsidRDefault="00685A22" w:rsidP="00685A22">
      <w:pPr>
        <w:spacing w:line="540" w:lineRule="exact"/>
        <w:ind w:firstLineChars="200" w:firstLine="640"/>
        <w:rPr>
          <w:rFonts w:hint="eastAsia"/>
        </w:rPr>
      </w:pPr>
      <w:r>
        <w:rPr>
          <w:rFonts w:hint="eastAsia"/>
        </w:rPr>
        <w:t>加强全国知识产权信息公共服务体系建设，按照公开、公平、公正原则，统筹考虑地区分布、机构类型和服务特色，国家知识产权局将择优遴选50家左右的推荐单位作为第二期第一批TISC筹建机构，切实发挥引领示范作用，服务科技创新，支持经济社会高质量发展。</w:t>
      </w:r>
    </w:p>
    <w:p w:rsidR="00685A22" w:rsidRDefault="00685A22" w:rsidP="00685A22">
      <w:pPr>
        <w:widowControl/>
        <w:spacing w:line="540" w:lineRule="exact"/>
        <w:ind w:firstLineChars="200" w:firstLine="640"/>
        <w:rPr>
          <w:rFonts w:ascii="黑体" w:eastAsia="黑体" w:hAnsi="黑体"/>
        </w:rPr>
      </w:pPr>
      <w:r>
        <w:rPr>
          <w:rFonts w:ascii="黑体" w:eastAsia="黑体" w:hAnsi="黑体"/>
        </w:rPr>
        <w:t>二、申报主体</w:t>
      </w:r>
    </w:p>
    <w:p w:rsidR="00685A22" w:rsidRDefault="00685A22" w:rsidP="00685A22">
      <w:pPr>
        <w:ind w:firstLineChars="200" w:firstLine="640"/>
        <w:rPr>
          <w:rFonts w:hint="eastAsia"/>
        </w:rPr>
      </w:pPr>
      <w:r>
        <w:rPr>
          <w:rFonts w:hint="eastAsia"/>
        </w:rPr>
        <w:t>申报主体为从事专利、商标、地理标志和外观设计领域的知识产权信息服务机构，包括</w:t>
      </w:r>
      <w:r>
        <w:rPr>
          <w:rFonts w:ascii="Times New Roman" w:hint="eastAsia"/>
        </w:rPr>
        <w:t>高校、科研院所、公共图书馆、科技情报机构、行业组织、产业园区生产力促进机构等社会化信息服务机构</w:t>
      </w:r>
      <w:r>
        <w:rPr>
          <w:rFonts w:hint="eastAsia"/>
        </w:rPr>
        <w:t>、国家或地方知识产权管理部门下属单位等各类型法人单位，并符合《办法》第六条规定的各项基本条件。</w:t>
      </w:r>
    </w:p>
    <w:p w:rsidR="00685A22" w:rsidRDefault="00685A22" w:rsidP="00685A22">
      <w:pPr>
        <w:ind w:firstLineChars="200" w:firstLine="640"/>
        <w:rPr>
          <w:rFonts w:hint="eastAsia"/>
        </w:rPr>
      </w:pPr>
      <w:r>
        <w:rPr>
          <w:rFonts w:hint="eastAsia"/>
        </w:rPr>
        <w:t>根据TISC的公益性定位和性质，不</w:t>
      </w:r>
      <w:proofErr w:type="gramStart"/>
      <w:r>
        <w:rPr>
          <w:rFonts w:hint="eastAsia"/>
        </w:rPr>
        <w:t>推荐仅</w:t>
      </w:r>
      <w:proofErr w:type="gramEnd"/>
      <w:r>
        <w:rPr>
          <w:rFonts w:hint="eastAsia"/>
        </w:rPr>
        <w:t>提供商业化服务的市场化信息服务机构；不重复推荐已批准成为高校国家知识产权信息服务中心的机构；已备案国家知识产权信息公共服务网点的机构，同等条件下优先考虑。</w:t>
      </w:r>
    </w:p>
    <w:p w:rsidR="00685A22" w:rsidRDefault="00685A22" w:rsidP="00685A22">
      <w:pPr>
        <w:widowControl/>
        <w:spacing w:line="540" w:lineRule="exact"/>
        <w:ind w:firstLineChars="200"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三</w:t>
      </w:r>
      <w:r>
        <w:rPr>
          <w:rFonts w:ascii="黑体" w:eastAsia="黑体" w:hAnsi="黑体"/>
        </w:rPr>
        <w:t>、推荐程序</w:t>
      </w:r>
    </w:p>
    <w:p w:rsidR="00685A22" w:rsidRDefault="00685A22" w:rsidP="00685A22">
      <w:pPr>
        <w:spacing w:line="540" w:lineRule="exact"/>
        <w:ind w:firstLineChars="200" w:firstLine="643"/>
      </w:pPr>
      <w:r>
        <w:rPr>
          <w:rFonts w:ascii="楷体_GB2312" w:eastAsia="楷体_GB2312" w:hint="eastAsia"/>
          <w:b/>
        </w:rPr>
        <w:t>（一）提交材料。</w:t>
      </w:r>
      <w:r>
        <w:rPr>
          <w:rFonts w:hint="eastAsia"/>
        </w:rPr>
        <w:t>各单位通过国家知识产权公共服务网公共服务管理系统（http://ggfw.cnipa.gov.cn:8010/gl/）提交《技术与创新支持中心（TISC）筹建机构推荐表》（见附件1），并同时提供推荐表第二至第五部分内容的相应英文材料。国家知识产权公共服务网公共服务管理系统使用说明见附件2。</w:t>
      </w:r>
    </w:p>
    <w:p w:rsidR="00685A22" w:rsidRDefault="00685A22" w:rsidP="00685A22">
      <w:pPr>
        <w:spacing w:line="540" w:lineRule="exact"/>
        <w:ind w:firstLineChars="200" w:firstLine="643"/>
        <w:rPr>
          <w:rFonts w:hint="eastAsia"/>
        </w:rPr>
      </w:pPr>
      <w:r>
        <w:rPr>
          <w:rFonts w:ascii="楷体_GB2312" w:eastAsia="楷体_GB2312" w:hint="eastAsia"/>
          <w:b/>
        </w:rPr>
        <w:t>（二）地方推荐。</w:t>
      </w:r>
      <w:r>
        <w:rPr>
          <w:rFonts w:hint="eastAsia"/>
        </w:rPr>
        <w:t>各单位提交的相关材料需经所在地知识产权管理部门审核和推荐。各省（自治区、直辖市）、新疆生产建设兵团原则上推荐2</w:t>
      </w:r>
      <w:r>
        <w:rPr>
          <w:rFonts w:ascii="Times New Roman" w:hint="eastAsia"/>
        </w:rPr>
        <w:t>–</w:t>
      </w:r>
      <w:r>
        <w:rPr>
          <w:rFonts w:hint="eastAsia"/>
        </w:rPr>
        <w:t>3家基础条件好、服务能力强的地方单位作为第二期第一批TISC建议候选机构。通过系统填报和审核材料时间为2023年4月14日至5月10日。</w:t>
      </w:r>
    </w:p>
    <w:p w:rsidR="00685A22" w:rsidRDefault="00685A22" w:rsidP="00685A22">
      <w:pPr>
        <w:spacing w:line="540" w:lineRule="exact"/>
        <w:ind w:firstLineChars="200" w:firstLine="643"/>
        <w:rPr>
          <w:rFonts w:hint="eastAsia"/>
        </w:rPr>
      </w:pPr>
      <w:r>
        <w:rPr>
          <w:rFonts w:ascii="楷体_GB2312" w:eastAsia="楷体_GB2312" w:hint="eastAsia"/>
          <w:b/>
        </w:rPr>
        <w:t>（三）初步筛选和专家评审。</w:t>
      </w:r>
      <w:r>
        <w:rPr>
          <w:rFonts w:hint="eastAsia"/>
        </w:rPr>
        <w:t>国家知识产权局将按照有关程序对材料进行审查，并对符合申报条件的相关单位组织专家评审，综合考虑评审意见、区域布局、类型分布，提出TISC候选机构名单。</w:t>
      </w:r>
    </w:p>
    <w:p w:rsidR="00685A22" w:rsidRDefault="00685A22" w:rsidP="00685A22">
      <w:pPr>
        <w:spacing w:line="520" w:lineRule="exact"/>
        <w:ind w:firstLineChars="200" w:firstLine="643"/>
        <w:rPr>
          <w:rFonts w:hint="eastAsia"/>
        </w:rPr>
      </w:pPr>
      <w:r>
        <w:rPr>
          <w:rFonts w:ascii="楷体_GB2312" w:eastAsia="楷体_GB2312" w:hint="eastAsia"/>
          <w:b/>
        </w:rPr>
        <w:t>（四）实地调研与征求意见。</w:t>
      </w:r>
      <w:r>
        <w:rPr>
          <w:rFonts w:hint="eastAsia"/>
        </w:rPr>
        <w:t>国家知识产权局会同WIPO对部分候选机构进行实地调研，形成第二期第一批TISC筹建机构建议名单并征求WIPO意见。</w:t>
      </w:r>
    </w:p>
    <w:p w:rsidR="00685A22" w:rsidRDefault="00685A22" w:rsidP="00685A22">
      <w:pPr>
        <w:spacing w:line="520" w:lineRule="exact"/>
        <w:ind w:firstLineChars="200" w:firstLine="643"/>
        <w:rPr>
          <w:rFonts w:hint="eastAsia"/>
        </w:rPr>
      </w:pPr>
      <w:r>
        <w:rPr>
          <w:rFonts w:ascii="楷体_GB2312" w:eastAsia="楷体_GB2312" w:hint="eastAsia"/>
          <w:b/>
        </w:rPr>
        <w:t>（五）名单发布。</w:t>
      </w:r>
      <w:r>
        <w:rPr>
          <w:rFonts w:hint="eastAsia"/>
        </w:rPr>
        <w:t>国家知识产权局与WIPO共同确定第二期第一批TISC筹建机构名单，并在官方网站进行发布。</w:t>
      </w:r>
    </w:p>
    <w:p w:rsidR="00685A22" w:rsidRDefault="00685A22" w:rsidP="00685A22">
      <w:pPr>
        <w:widowControl/>
        <w:spacing w:line="540" w:lineRule="exact"/>
        <w:ind w:firstLineChars="200"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四</w:t>
      </w:r>
      <w:r>
        <w:rPr>
          <w:rFonts w:ascii="黑体" w:eastAsia="黑体" w:hAnsi="黑体"/>
        </w:rPr>
        <w:t>、工作要求</w:t>
      </w:r>
    </w:p>
    <w:p w:rsidR="00685A22" w:rsidRDefault="00685A22" w:rsidP="00685A22">
      <w:pPr>
        <w:spacing w:line="520" w:lineRule="exact"/>
        <w:ind w:firstLineChars="200" w:firstLine="640"/>
        <w:rPr>
          <w:rFonts w:hint="eastAsia"/>
        </w:rPr>
      </w:pPr>
      <w:r>
        <w:rPr>
          <w:rFonts w:hint="eastAsia"/>
        </w:rPr>
        <w:t>各省级知识产权管理部门要高度重视，认真组织好本次推荐工作，指导有关机构按照《办法》和本通知的要求积极申报；做好第二期第一批TISC筹建机构的培育工作，加强对已有TISC机构的指导和支持。</w:t>
      </w:r>
    </w:p>
    <w:p w:rsidR="00685A22" w:rsidRDefault="00685A22" w:rsidP="00685A22">
      <w:pPr>
        <w:spacing w:line="520" w:lineRule="exact"/>
        <w:ind w:firstLineChars="200" w:firstLine="640"/>
        <w:rPr>
          <w:rFonts w:hint="eastAsia"/>
        </w:rPr>
      </w:pPr>
      <w:r>
        <w:rPr>
          <w:rFonts w:hint="eastAsia"/>
        </w:rPr>
        <w:t>特此通知。</w:t>
      </w:r>
    </w:p>
    <w:p w:rsidR="00685A22" w:rsidRDefault="00685A22" w:rsidP="00685A22">
      <w:pPr>
        <w:spacing w:line="520" w:lineRule="exact"/>
        <w:ind w:firstLineChars="200" w:firstLine="640"/>
      </w:pPr>
    </w:p>
    <w:p w:rsidR="00685A22" w:rsidRDefault="00685A22" w:rsidP="00685A22">
      <w:pPr>
        <w:spacing w:line="520" w:lineRule="exact"/>
        <w:ind w:firstLineChars="200" w:firstLine="640"/>
        <w:rPr>
          <w:rFonts w:hint="eastAsia"/>
        </w:rPr>
      </w:pPr>
      <w:r>
        <w:rPr>
          <w:rFonts w:hint="eastAsia"/>
        </w:rPr>
        <w:t>附件：1.技术与创新支持中心（TISC）筹建机构推荐表</w:t>
      </w:r>
    </w:p>
    <w:p w:rsidR="00685A22" w:rsidRDefault="00685A22" w:rsidP="00685A22">
      <w:pPr>
        <w:spacing w:line="520" w:lineRule="exact"/>
        <w:ind w:firstLineChars="500" w:firstLine="1600"/>
        <w:rPr>
          <w:rFonts w:hint="eastAsia"/>
        </w:rPr>
      </w:pPr>
      <w:r>
        <w:rPr>
          <w:rFonts w:hint="eastAsia"/>
        </w:rPr>
        <w:t xml:space="preserve">2.国家知识产权公共服务网公共服务管理系统使 </w:t>
      </w:r>
    </w:p>
    <w:p w:rsidR="00685A22" w:rsidRDefault="00685A22" w:rsidP="00685A22">
      <w:pPr>
        <w:spacing w:line="520" w:lineRule="exact"/>
        <w:ind w:firstLineChars="600" w:firstLine="1920"/>
        <w:rPr>
          <w:rFonts w:hint="eastAsia"/>
        </w:rPr>
      </w:pPr>
      <w:r>
        <w:rPr>
          <w:rFonts w:hint="eastAsia"/>
        </w:rPr>
        <w:t>用说明</w:t>
      </w:r>
    </w:p>
    <w:p w:rsidR="00685A22" w:rsidRDefault="00685A22" w:rsidP="00685A22">
      <w:pPr>
        <w:spacing w:line="520" w:lineRule="exact"/>
        <w:rPr>
          <w:rFonts w:hint="eastAsia"/>
        </w:rPr>
      </w:pPr>
    </w:p>
    <w:p w:rsidR="00685A22" w:rsidRDefault="00685A22" w:rsidP="00685A22">
      <w:pPr>
        <w:spacing w:line="520" w:lineRule="exact"/>
        <w:rPr>
          <w:rFonts w:hint="eastAsia"/>
        </w:rPr>
      </w:pPr>
    </w:p>
    <w:p w:rsidR="00685A22" w:rsidRDefault="00685A22" w:rsidP="00685A22">
      <w:pPr>
        <w:spacing w:line="520" w:lineRule="exact"/>
        <w:ind w:firstLineChars="200" w:firstLine="640"/>
        <w:rPr>
          <w:rFonts w:hint="eastAsia"/>
        </w:rPr>
      </w:pPr>
      <w:r>
        <w:rPr>
          <w:rFonts w:hint="eastAsia"/>
        </w:rPr>
        <w:t>（此页无正文）</w:t>
      </w:r>
    </w:p>
    <w:p w:rsidR="00685A22" w:rsidRDefault="00685A22" w:rsidP="00685A22">
      <w:pPr>
        <w:spacing w:line="520" w:lineRule="exact"/>
        <w:ind w:firstLineChars="200" w:firstLine="640"/>
      </w:pPr>
    </w:p>
    <w:p w:rsidR="00685A22" w:rsidRDefault="00685A22" w:rsidP="00685A22">
      <w:pPr>
        <w:spacing w:line="520" w:lineRule="exact"/>
        <w:ind w:firstLineChars="200" w:firstLine="640"/>
        <w:rPr>
          <w:rFonts w:hint="eastAsia"/>
        </w:rPr>
      </w:pPr>
    </w:p>
    <w:p w:rsidR="00685A22" w:rsidRDefault="00685A22" w:rsidP="00685A22">
      <w:pPr>
        <w:spacing w:line="520" w:lineRule="exact"/>
        <w:ind w:rightChars="450" w:right="1440" w:firstLineChars="200" w:firstLine="640"/>
        <w:jc w:val="right"/>
        <w:rPr>
          <w:rFonts w:hint="eastAsia"/>
        </w:rPr>
      </w:pPr>
      <w:r>
        <w:rPr>
          <w:rFonts w:hint="eastAsia"/>
        </w:rPr>
        <w:t>国家知识产权局办公室</w:t>
      </w:r>
    </w:p>
    <w:p w:rsidR="00685A22" w:rsidRDefault="00685A22" w:rsidP="00685A22">
      <w:pPr>
        <w:spacing w:line="520" w:lineRule="exact"/>
        <w:ind w:rightChars="600" w:right="1920" w:firstLineChars="200" w:firstLine="640"/>
        <w:jc w:val="right"/>
        <w:rPr>
          <w:rFonts w:hint="eastAsia"/>
        </w:rPr>
      </w:pPr>
      <w:r>
        <w:rPr>
          <w:rFonts w:hint="eastAsia"/>
        </w:rPr>
        <w:t>2023年4月 日</w:t>
      </w:r>
    </w:p>
    <w:p w:rsidR="00685A22" w:rsidRDefault="00685A22" w:rsidP="00685A22">
      <w:pPr>
        <w:ind w:firstLineChars="200" w:firstLine="640"/>
        <w:rPr>
          <w:rFonts w:hint="eastAsia"/>
        </w:rPr>
      </w:pPr>
      <w:r>
        <w:rPr>
          <w:rFonts w:hint="eastAsia"/>
        </w:rPr>
        <w:t>（此件公开发布）</w:t>
      </w:r>
    </w:p>
    <w:p w:rsidR="00685A22" w:rsidRDefault="00685A22" w:rsidP="00685A22">
      <w:pPr>
        <w:spacing w:line="520" w:lineRule="exact"/>
        <w:ind w:rightChars="600" w:right="1920" w:firstLineChars="200" w:firstLine="640"/>
        <w:jc w:val="right"/>
      </w:pPr>
    </w:p>
    <w:p w:rsidR="00685A22" w:rsidRDefault="00685A22" w:rsidP="00685A22">
      <w:pPr>
        <w:spacing w:line="520" w:lineRule="exact"/>
        <w:ind w:rightChars="600" w:right="1920" w:firstLineChars="200" w:firstLine="640"/>
        <w:jc w:val="right"/>
      </w:pPr>
    </w:p>
    <w:p w:rsidR="00685A22" w:rsidRDefault="00685A22" w:rsidP="00685A22">
      <w:pPr>
        <w:rPr>
          <w:rFonts w:ascii="Times New Roman" w:hint="eastAsia"/>
        </w:rPr>
      </w:pPr>
      <w:r>
        <w:rPr>
          <w:rFonts w:hint="eastAsia"/>
        </w:rPr>
        <w:t xml:space="preserve">(联系人及电话：公共服务司 </w:t>
      </w:r>
      <w:r>
        <w:rPr>
          <w:rFonts w:ascii="Times New Roman" w:hint="eastAsia"/>
        </w:rPr>
        <w:t>乔文珊</w:t>
      </w:r>
      <w:r>
        <w:rPr>
          <w:rFonts w:ascii="Times New Roman" w:hint="eastAsia"/>
        </w:rPr>
        <w:t xml:space="preserve">  </w:t>
      </w:r>
      <w:r>
        <w:rPr>
          <w:rFonts w:ascii="Times New Roman" w:hint="eastAsia"/>
        </w:rPr>
        <w:t>蔺于扬</w:t>
      </w:r>
      <w:r>
        <w:rPr>
          <w:rFonts w:hint="eastAsia"/>
        </w:rPr>
        <w:t xml:space="preserve"> 电  话：010–62083702  62083448  </w:t>
      </w:r>
      <w:proofErr w:type="gramStart"/>
      <w:r>
        <w:rPr>
          <w:rFonts w:hint="eastAsia"/>
        </w:rPr>
        <w:t>邮</w:t>
      </w:r>
      <w:proofErr w:type="gramEnd"/>
      <w:r>
        <w:rPr>
          <w:rFonts w:hint="eastAsia"/>
        </w:rPr>
        <w:t xml:space="preserve">  箱：qiaowenshan@cnipa.gov.cn）</w:t>
      </w:r>
    </w:p>
    <w:p w:rsidR="00685A22" w:rsidRDefault="00685A22" w:rsidP="00685A22">
      <w:pPr>
        <w:pStyle w:val="a7"/>
        <w:tabs>
          <w:tab w:val="left" w:pos="2410"/>
        </w:tabs>
        <w:adjustRightInd/>
        <w:ind w:firstLine="0"/>
        <w:jc w:val="both"/>
        <w:rPr>
          <w:rFonts w:hint="eastAsia"/>
          <w:kern w:val="2"/>
        </w:rPr>
      </w:pPr>
    </w:p>
    <w:p w:rsidR="00685A22" w:rsidRDefault="00685A22" w:rsidP="00685A22">
      <w:pPr>
        <w:tabs>
          <w:tab w:val="left" w:pos="2410"/>
        </w:tabs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9979025</wp:posOffset>
                </wp:positionV>
                <wp:extent cx="6120130" cy="0"/>
                <wp:effectExtent l="41910" t="41275" r="38735" b="3492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9850" cmpd="thinThick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2EA38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85.75pt" to="481.9pt,7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" strokecolor="red" strokeweight="5.5pt">
                <v:stroke linestyle="thinThick"/>
                <w10:wrap anchorx="page" anchory="page"/>
                <w10:anchorlock/>
              </v:line>
            </w:pict>
          </mc:Fallback>
        </mc:AlternateContent>
      </w:r>
    </w:p>
    <w:p w:rsidR="00C470E2" w:rsidRPr="00685A22" w:rsidRDefault="00C470E2">
      <w:bookmarkStart w:id="0" w:name="_GoBack"/>
      <w:bookmarkEnd w:id="0"/>
    </w:p>
    <w:sectPr w:rsidR="00C470E2" w:rsidRPr="00685A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2155" w:right="1474" w:bottom="1985" w:left="1588" w:header="851" w:footer="1418" w:gutter="0"/>
      <w:cols w:space="720"/>
      <w:titlePg/>
      <w:docGrid w:type="lines" w:linePitch="437" w:charSpace="638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A22" w:rsidRDefault="00685A22" w:rsidP="00685A22">
      <w:pPr>
        <w:spacing w:line="240" w:lineRule="auto"/>
      </w:pPr>
      <w:r>
        <w:separator/>
      </w:r>
    </w:p>
  </w:endnote>
  <w:endnote w:type="continuationSeparator" w:id="0">
    <w:p w:rsidR="00685A22" w:rsidRDefault="00685A22" w:rsidP="00685A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modern"/>
    <w:pitch w:val="default"/>
    <w:sig w:usb0="00000000" w:usb1="00000000" w:usb2="00000000" w:usb3="00000000" w:csb0="00040000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宋体"/>
    <w:charset w:val="86"/>
    <w:family w:val="auto"/>
    <w:pitch w:val="default"/>
    <w:sig w:usb0="00000000" w:usb1="184F6CFA" w:usb2="00000012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modern"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9C9" w:rsidRDefault="00685A22">
    <w:pPr>
      <w:pStyle w:val="a5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629C9" w:rsidRDefault="00685A22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9C9" w:rsidRDefault="00685A22">
    <w:pPr>
      <w:pStyle w:val="a5"/>
      <w:framePr w:wrap="around" w:vAnchor="text" w:hAnchor="margin" w:xAlign="outside" w:y="1"/>
      <w:ind w:leftChars="100" w:left="320" w:rightChars="100" w:right="320"/>
      <w:rPr>
        <w:rStyle w:val="a8"/>
        <w:rFonts w:ascii="宋体" w:hAnsi="宋体" w:hint="eastAsia"/>
        <w:sz w:val="28"/>
        <w:szCs w:val="28"/>
      </w:rPr>
    </w:pPr>
    <w:r>
      <w:rPr>
        <w:rFonts w:eastAsia="宋体" w:hAnsi="宋体" w:hint="eastAsia"/>
        <w:sz w:val="28"/>
        <w:szCs w:val="28"/>
        <w:lang w:val="zh-CN"/>
      </w:rPr>
      <w:t>—</w:t>
    </w:r>
    <w:r>
      <w:rPr>
        <w:rStyle w:val="a8"/>
        <w:rFonts w:ascii="宋体" w:hAnsi="宋体" w:hint="eastAsia"/>
        <w:sz w:val="28"/>
        <w:szCs w:val="28"/>
      </w:rPr>
      <w:t xml:space="preserve"> </w:t>
    </w:r>
    <w:r>
      <w:rPr>
        <w:rStyle w:val="a8"/>
        <w:rFonts w:ascii="宋体" w:hAnsi="宋体"/>
        <w:sz w:val="28"/>
        <w:szCs w:val="28"/>
      </w:rPr>
      <w:fldChar w:fldCharType="begin"/>
    </w:r>
    <w:r>
      <w:rPr>
        <w:rStyle w:val="a8"/>
        <w:rFonts w:ascii="宋体" w:hAnsi="宋体"/>
        <w:sz w:val="28"/>
        <w:szCs w:val="28"/>
      </w:rPr>
      <w:instrText xml:space="preserve">PAGE  </w:instrText>
    </w:r>
    <w:r>
      <w:rPr>
        <w:rStyle w:val="a8"/>
        <w:rFonts w:ascii="宋体" w:hAnsi="宋体"/>
        <w:sz w:val="28"/>
        <w:szCs w:val="28"/>
      </w:rPr>
      <w:fldChar w:fldCharType="separate"/>
    </w:r>
    <w:r>
      <w:rPr>
        <w:rStyle w:val="a8"/>
        <w:rFonts w:ascii="宋体" w:hAnsi="宋体"/>
        <w:noProof/>
        <w:sz w:val="28"/>
        <w:szCs w:val="28"/>
      </w:rPr>
      <w:t>2</w:t>
    </w:r>
    <w:r>
      <w:rPr>
        <w:rStyle w:val="a8"/>
        <w:rFonts w:ascii="宋体" w:hAnsi="宋体"/>
        <w:sz w:val="28"/>
        <w:szCs w:val="28"/>
      </w:rPr>
      <w:fldChar w:fldCharType="end"/>
    </w:r>
    <w:r>
      <w:rPr>
        <w:rStyle w:val="a8"/>
        <w:rFonts w:ascii="宋体" w:hAnsi="宋体" w:hint="eastAsia"/>
        <w:sz w:val="28"/>
        <w:szCs w:val="28"/>
      </w:rPr>
      <w:t xml:space="preserve"> </w:t>
    </w:r>
    <w:r>
      <w:rPr>
        <w:rFonts w:eastAsia="宋体" w:hAnsi="宋体" w:hint="eastAsia"/>
        <w:sz w:val="28"/>
        <w:szCs w:val="28"/>
        <w:lang w:val="zh-CN"/>
      </w:rPr>
      <w:t>—</w:t>
    </w:r>
  </w:p>
  <w:p w:rsidR="004629C9" w:rsidRDefault="00685A22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9C9" w:rsidRDefault="00685A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A22" w:rsidRDefault="00685A22" w:rsidP="00685A22">
      <w:pPr>
        <w:spacing w:line="240" w:lineRule="auto"/>
      </w:pPr>
      <w:r>
        <w:separator/>
      </w:r>
    </w:p>
  </w:footnote>
  <w:footnote w:type="continuationSeparator" w:id="0">
    <w:p w:rsidR="00685A22" w:rsidRDefault="00685A22" w:rsidP="00685A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9C9" w:rsidRDefault="00685A2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9C9" w:rsidRDefault="00685A22">
    <w:pPr>
      <w:pStyle w:val="a3"/>
      <w:pBdr>
        <w:bottom w:val="none" w:sz="0" w:space="0" w:color="auto"/>
      </w:pBdr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9C9" w:rsidRDefault="00685A2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F4"/>
    <w:rsid w:val="00685A22"/>
    <w:rsid w:val="00C470E2"/>
    <w:rsid w:val="00F0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5:chartTrackingRefBased/>
  <w15:docId w15:val="{F85432DE-DB2D-49D0-8D02-88E21147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A22"/>
    <w:pPr>
      <w:widowControl w:val="0"/>
      <w:adjustRightInd w:val="0"/>
      <w:spacing w:line="560" w:lineRule="exact"/>
      <w:jc w:val="both"/>
      <w:textAlignment w:val="baseline"/>
    </w:pPr>
    <w:rPr>
      <w:rFonts w:ascii="仿宋_GB2312" w:eastAsia="仿宋_GB2312" w:hAnsi="Times New Roman" w:cs="Times New Roman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A22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5A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5A22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5A22"/>
    <w:rPr>
      <w:sz w:val="18"/>
      <w:szCs w:val="18"/>
    </w:rPr>
  </w:style>
  <w:style w:type="paragraph" w:styleId="a7">
    <w:name w:val="Normal Indent"/>
    <w:basedOn w:val="a"/>
    <w:uiPriority w:val="99"/>
    <w:unhideWhenUsed/>
    <w:rsid w:val="00685A22"/>
    <w:pPr>
      <w:ind w:firstLine="624"/>
      <w:jc w:val="left"/>
    </w:pPr>
  </w:style>
  <w:style w:type="character" w:styleId="a8">
    <w:name w:val="page number"/>
    <w:rsid w:val="00685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244</Words>
  <Characters>1397</Characters>
  <Application>Microsoft Office Word</Application>
  <DocSecurity>0</DocSecurity>
  <Lines>11</Lines>
  <Paragraphs>3</Paragraphs>
  <ScaleCrop>false</ScaleCrop>
  <Company>Microsoft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2023-04-19T08:26:00Z</dcterms:created>
  <dcterms:modified xsi:type="dcterms:W3CDTF">2023-04-19T08:27:00Z</dcterms:modified>
</cp:coreProperties>
</file>