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500" w:rsidRPr="00A70678" w:rsidRDefault="00DC2BF0" w:rsidP="007F22DC">
      <w:pPr>
        <w:spacing w:line="576" w:lineRule="exact"/>
        <w:jc w:val="left"/>
        <w:rPr>
          <w:rFonts w:ascii="方正黑体_GBK" w:eastAsia="方正黑体_GBK" w:hAnsi="Gungsuh"/>
          <w:color w:val="000000" w:themeColor="text1"/>
          <w:sz w:val="32"/>
          <w:szCs w:val="32"/>
        </w:rPr>
      </w:pPr>
      <w:r w:rsidRPr="00A70678">
        <w:rPr>
          <w:rFonts w:ascii="方正黑体_GBK" w:eastAsia="方正黑体_GBK" w:hAnsi="Gungsuh" w:hint="eastAsia"/>
          <w:color w:val="000000" w:themeColor="text1"/>
          <w:sz w:val="32"/>
          <w:szCs w:val="32"/>
        </w:rPr>
        <w:t>附件</w:t>
      </w:r>
      <w:r w:rsidR="00096A16" w:rsidRPr="00A70678">
        <w:rPr>
          <w:rFonts w:ascii="方正黑体_GBK" w:eastAsia="方正黑体_GBK" w:hAnsi="Gungsuh" w:hint="eastAsia"/>
          <w:color w:val="000000" w:themeColor="text1"/>
          <w:sz w:val="32"/>
          <w:szCs w:val="32"/>
        </w:rPr>
        <w:t>1</w:t>
      </w:r>
      <w:r w:rsidRPr="00A70678">
        <w:rPr>
          <w:rFonts w:ascii="方正黑体_GBK" w:eastAsia="方正黑体_GBK" w:hAnsi="Gungsuh" w:hint="eastAsia"/>
          <w:color w:val="000000" w:themeColor="text1"/>
          <w:sz w:val="32"/>
          <w:szCs w:val="32"/>
        </w:rPr>
        <w:t>：</w:t>
      </w:r>
    </w:p>
    <w:p w:rsidR="00096A16" w:rsidRPr="00A70678" w:rsidRDefault="00096A16" w:rsidP="007F22DC">
      <w:pPr>
        <w:snapToGrid w:val="0"/>
        <w:spacing w:line="576" w:lineRule="exact"/>
        <w:jc w:val="left"/>
        <w:rPr>
          <w:rFonts w:ascii="方正小标宋_GBK" w:eastAsia="方正小标宋_GBK" w:hAnsi="等线" w:cs="Times New Roman"/>
          <w:color w:val="000000" w:themeColor="text1"/>
          <w:sz w:val="44"/>
          <w:szCs w:val="44"/>
        </w:rPr>
      </w:pPr>
    </w:p>
    <w:p w:rsidR="00E64500" w:rsidRPr="00A70678" w:rsidRDefault="00E64500" w:rsidP="007F22DC">
      <w:pPr>
        <w:snapToGrid w:val="0"/>
        <w:spacing w:line="576" w:lineRule="exact"/>
        <w:jc w:val="center"/>
        <w:rPr>
          <w:rFonts w:ascii="方正小标宋_GBK" w:eastAsia="方正小标宋_GBK" w:hAnsi="等线" w:cs="Times New Roman"/>
          <w:color w:val="000000" w:themeColor="text1"/>
          <w:sz w:val="44"/>
          <w:szCs w:val="44"/>
        </w:rPr>
      </w:pPr>
      <w:r w:rsidRPr="00A70678">
        <w:rPr>
          <w:rFonts w:ascii="方正小标宋_GBK" w:eastAsia="方正小标宋_GBK" w:hAnsi="等线" w:cs="Times New Roman" w:hint="eastAsia"/>
          <w:color w:val="000000" w:themeColor="text1"/>
          <w:sz w:val="44"/>
          <w:szCs w:val="44"/>
        </w:rPr>
        <w:t>重庆市海外知识产权纠纷应对指导工作站</w:t>
      </w:r>
    </w:p>
    <w:p w:rsidR="00E64500" w:rsidRPr="00A70678" w:rsidRDefault="00E64500" w:rsidP="007F22DC">
      <w:pPr>
        <w:snapToGrid w:val="0"/>
        <w:spacing w:line="576" w:lineRule="exact"/>
        <w:jc w:val="center"/>
        <w:rPr>
          <w:rFonts w:ascii="方正小标宋_GBK" w:eastAsia="方正小标宋_GBK" w:hAnsi="等线" w:cs="Times New Roman"/>
          <w:color w:val="000000" w:themeColor="text1"/>
          <w:sz w:val="44"/>
          <w:szCs w:val="44"/>
        </w:rPr>
      </w:pPr>
      <w:r w:rsidRPr="00A70678">
        <w:rPr>
          <w:rFonts w:ascii="方正小标宋_GBK" w:eastAsia="方正小标宋_GBK" w:hAnsi="等线" w:cs="Times New Roman" w:hint="eastAsia"/>
          <w:color w:val="000000" w:themeColor="text1"/>
          <w:sz w:val="44"/>
          <w:szCs w:val="44"/>
        </w:rPr>
        <w:t>管理办法（试行）</w:t>
      </w:r>
    </w:p>
    <w:p w:rsidR="00E64500" w:rsidRPr="00A70678" w:rsidRDefault="00E64500" w:rsidP="007F22DC">
      <w:pPr>
        <w:widowControl/>
        <w:spacing w:line="576" w:lineRule="exact"/>
        <w:jc w:val="center"/>
        <w:rPr>
          <w:rFonts w:ascii="方正楷体_GBK" w:eastAsia="方正楷体_GBK" w:hAnsi="Times New Roman" w:cs="Times New Roman"/>
          <w:color w:val="000000" w:themeColor="text1"/>
          <w:sz w:val="32"/>
          <w:szCs w:val="32"/>
        </w:rPr>
      </w:pPr>
      <w:r w:rsidRPr="00A70678">
        <w:rPr>
          <w:rFonts w:ascii="方正楷体_GBK" w:eastAsia="方正楷体_GBK" w:hAnsi="Times New Roman" w:cs="Times New Roman" w:hint="eastAsia"/>
          <w:color w:val="000000" w:themeColor="text1"/>
          <w:sz w:val="32"/>
          <w:szCs w:val="32"/>
        </w:rPr>
        <w:t>（征求意见稿）</w:t>
      </w:r>
    </w:p>
    <w:p w:rsidR="00E64500" w:rsidRPr="00A70678" w:rsidRDefault="00E64500" w:rsidP="007F22DC">
      <w:pPr>
        <w:spacing w:line="576" w:lineRule="exact"/>
        <w:ind w:firstLineChars="200" w:firstLine="640"/>
        <w:jc w:val="left"/>
        <w:rPr>
          <w:rFonts w:ascii="方正黑体_GBK" w:eastAsia="方正黑体_GBK" w:hAnsi="等线" w:cs="Times New Roman"/>
          <w:color w:val="000000" w:themeColor="text1"/>
          <w:sz w:val="32"/>
          <w:szCs w:val="32"/>
        </w:rPr>
      </w:pPr>
    </w:p>
    <w:p w:rsidR="00E64500" w:rsidRPr="00A70678" w:rsidRDefault="00E64500" w:rsidP="007F22DC">
      <w:pPr>
        <w:spacing w:line="576" w:lineRule="exact"/>
        <w:ind w:firstLineChars="200" w:firstLine="640"/>
        <w:jc w:val="left"/>
        <w:rPr>
          <w:rFonts w:ascii="方正仿宋_GBK" w:eastAsia="方正仿宋_GBK" w:hAnsi="等线" w:cs="Times New Roman"/>
          <w:color w:val="000000" w:themeColor="text1"/>
          <w:sz w:val="32"/>
          <w:szCs w:val="32"/>
        </w:rPr>
      </w:pPr>
      <w:r w:rsidRPr="00A70678">
        <w:rPr>
          <w:rFonts w:ascii="方正黑体_GBK" w:eastAsia="方正黑体_GBK" w:hAnsi="等线" w:cs="Times New Roman" w:hint="eastAsia"/>
          <w:color w:val="000000" w:themeColor="text1"/>
          <w:sz w:val="32"/>
          <w:szCs w:val="32"/>
        </w:rPr>
        <w:t>第一条</w:t>
      </w:r>
      <w:r w:rsidRPr="00A70678">
        <w:rPr>
          <w:rFonts w:ascii="方正仿宋_GBK" w:eastAsia="方正仿宋_GBK" w:hAnsi="等线" w:cs="Times New Roman" w:hint="eastAsia"/>
          <w:color w:val="000000" w:themeColor="text1"/>
          <w:sz w:val="32"/>
          <w:szCs w:val="32"/>
        </w:rPr>
        <w:t xml:space="preserve"> 为加强重庆市海外知识产权纠纷应对指导工作站（以下简称“工作站”）的规范化建设和高效运行，指导企业有效应对海外知识产权纠纷，根据《国务院关于开展营商环境创新试点工作的意见》《重庆市营商环境创新试点实施方案》有关要求，结合本市实际，制定本办法。</w:t>
      </w:r>
    </w:p>
    <w:p w:rsidR="00E64500" w:rsidRPr="00A70678" w:rsidRDefault="00E64500" w:rsidP="007F22DC">
      <w:pPr>
        <w:spacing w:line="576" w:lineRule="exact"/>
        <w:ind w:firstLineChars="200" w:firstLine="640"/>
        <w:jc w:val="left"/>
        <w:rPr>
          <w:rFonts w:ascii="方正仿宋_GBK" w:eastAsia="方正仿宋_GBK" w:hAnsi="等线" w:cs="Times New Roman"/>
          <w:color w:val="000000" w:themeColor="text1"/>
          <w:sz w:val="32"/>
          <w:szCs w:val="32"/>
        </w:rPr>
      </w:pPr>
      <w:r w:rsidRPr="00A70678">
        <w:rPr>
          <w:rFonts w:ascii="方正黑体_GBK" w:eastAsia="方正黑体_GBK" w:hAnsi="等线" w:cs="Times New Roman" w:hint="eastAsia"/>
          <w:color w:val="000000" w:themeColor="text1"/>
          <w:sz w:val="32"/>
          <w:szCs w:val="32"/>
        </w:rPr>
        <w:t xml:space="preserve">第二条 </w:t>
      </w:r>
      <w:r w:rsidRPr="00A70678">
        <w:rPr>
          <w:rFonts w:ascii="方正仿宋_GBK" w:eastAsia="方正仿宋_GBK" w:hAnsi="等线" w:cs="Times New Roman" w:hint="eastAsia"/>
          <w:color w:val="000000" w:themeColor="text1"/>
          <w:sz w:val="32"/>
          <w:szCs w:val="32"/>
        </w:rPr>
        <w:t>工作站是指以产业园区、行业协会、产业联盟、科研院所等实体机构为依托，经重庆市知识产权局同意设立，面向企业提供海外知识产权纠纷应对指导的公益性服务平台。</w:t>
      </w:r>
    </w:p>
    <w:p w:rsidR="00E64500" w:rsidRPr="00A70678" w:rsidRDefault="00E64500" w:rsidP="007F22DC">
      <w:pPr>
        <w:spacing w:line="576" w:lineRule="exact"/>
        <w:ind w:firstLineChars="200" w:firstLine="640"/>
        <w:jc w:val="left"/>
        <w:rPr>
          <w:rFonts w:ascii="方正仿宋_GBK" w:eastAsia="方正仿宋_GBK" w:hAnsi="等线" w:cs="Times New Roman"/>
          <w:color w:val="000000" w:themeColor="text1"/>
          <w:sz w:val="32"/>
          <w:szCs w:val="32"/>
        </w:rPr>
      </w:pPr>
      <w:r w:rsidRPr="00A70678">
        <w:rPr>
          <w:rFonts w:ascii="方正黑体_GBK" w:eastAsia="方正黑体_GBK" w:hAnsi="等线" w:cs="Times New Roman" w:hint="eastAsia"/>
          <w:color w:val="000000" w:themeColor="text1"/>
          <w:sz w:val="32"/>
          <w:szCs w:val="32"/>
        </w:rPr>
        <w:t>第三条</w:t>
      </w:r>
      <w:r w:rsidRPr="00A70678">
        <w:rPr>
          <w:rFonts w:ascii="方正仿宋_GBK" w:eastAsia="方正仿宋_GBK" w:hAnsi="等线" w:cs="Times New Roman" w:hint="eastAsia"/>
          <w:color w:val="000000" w:themeColor="text1"/>
          <w:sz w:val="32"/>
          <w:szCs w:val="32"/>
        </w:rPr>
        <w:t xml:space="preserve"> 申请设立工作站，应具备如下条件：</w:t>
      </w:r>
    </w:p>
    <w:p w:rsidR="00E64500" w:rsidRPr="00A70678" w:rsidRDefault="00E64500" w:rsidP="007F22DC">
      <w:pPr>
        <w:spacing w:line="576" w:lineRule="exact"/>
        <w:ind w:firstLineChars="200" w:firstLine="640"/>
        <w:jc w:val="left"/>
        <w:rPr>
          <w:rFonts w:ascii="方正仿宋_GBK" w:eastAsia="方正仿宋_GBK" w:hAnsi="等线" w:cs="Times New Roman"/>
          <w:color w:val="000000" w:themeColor="text1"/>
          <w:sz w:val="32"/>
          <w:szCs w:val="32"/>
        </w:rPr>
      </w:pPr>
      <w:r w:rsidRPr="00A70678">
        <w:rPr>
          <w:rFonts w:ascii="方正仿宋_GBK" w:eastAsia="方正仿宋_GBK" w:hAnsi="等线" w:cs="Times New Roman" w:hint="eastAsia"/>
          <w:color w:val="000000" w:themeColor="text1"/>
          <w:sz w:val="32"/>
          <w:szCs w:val="32"/>
        </w:rPr>
        <w:t>（一）申请主体应为重庆市内企事业单位、社会团体，具有固定的办公场所，运行状况良好，无严重失信行为；</w:t>
      </w:r>
    </w:p>
    <w:p w:rsidR="00E64500" w:rsidRPr="00A70678" w:rsidRDefault="00E64500" w:rsidP="007F22DC">
      <w:pPr>
        <w:spacing w:line="576" w:lineRule="exact"/>
        <w:ind w:firstLineChars="200" w:firstLine="640"/>
        <w:jc w:val="left"/>
        <w:rPr>
          <w:rFonts w:ascii="方正仿宋_GBK" w:eastAsia="方正仿宋_GBK" w:hAnsi="等线" w:cs="Times New Roman"/>
          <w:color w:val="000000" w:themeColor="text1"/>
          <w:sz w:val="32"/>
          <w:szCs w:val="32"/>
        </w:rPr>
      </w:pPr>
      <w:r w:rsidRPr="00A70678">
        <w:rPr>
          <w:rFonts w:ascii="方正仿宋_GBK" w:eastAsia="方正仿宋_GBK" w:hAnsi="等线" w:cs="Times New Roman" w:hint="eastAsia"/>
          <w:color w:val="000000" w:themeColor="text1"/>
          <w:sz w:val="32"/>
          <w:szCs w:val="32"/>
        </w:rPr>
        <w:t>（二）具有开展海外知识产权纠纷应对指导工作的专业团队，人员业务素质强；</w:t>
      </w:r>
    </w:p>
    <w:p w:rsidR="00E64500" w:rsidRPr="00A70678" w:rsidRDefault="00E64500" w:rsidP="007F22DC">
      <w:pPr>
        <w:spacing w:line="576" w:lineRule="exact"/>
        <w:ind w:firstLineChars="200" w:firstLine="640"/>
        <w:jc w:val="left"/>
        <w:rPr>
          <w:rFonts w:ascii="方正仿宋_GBK" w:eastAsia="方正仿宋_GBK" w:hAnsi="等线" w:cs="Times New Roman"/>
          <w:color w:val="000000" w:themeColor="text1"/>
          <w:sz w:val="32"/>
          <w:szCs w:val="32"/>
        </w:rPr>
      </w:pPr>
      <w:r w:rsidRPr="00A70678">
        <w:rPr>
          <w:rFonts w:ascii="方正仿宋_GBK" w:eastAsia="方正仿宋_GBK" w:hAnsi="等线" w:cs="Times New Roman" w:hint="eastAsia"/>
          <w:color w:val="000000" w:themeColor="text1"/>
          <w:sz w:val="32"/>
          <w:szCs w:val="32"/>
        </w:rPr>
        <w:t>（三）具有知识产权相关的国内外文献资源、数据库、信息分析工具和相关渠道手段；</w:t>
      </w:r>
    </w:p>
    <w:p w:rsidR="00E64500" w:rsidRPr="00A70678" w:rsidRDefault="00E64500" w:rsidP="007F22DC">
      <w:pPr>
        <w:spacing w:line="576" w:lineRule="exact"/>
        <w:ind w:firstLineChars="200" w:firstLine="616"/>
        <w:jc w:val="left"/>
        <w:rPr>
          <w:rFonts w:ascii="方正仿宋_GBK" w:eastAsia="方正仿宋_GBK" w:hAnsi="等线" w:cs="Times New Roman"/>
          <w:color w:val="000000" w:themeColor="text1"/>
          <w:spacing w:val="-6"/>
          <w:sz w:val="32"/>
          <w:szCs w:val="32"/>
        </w:rPr>
      </w:pPr>
      <w:r w:rsidRPr="00A70678">
        <w:rPr>
          <w:rFonts w:ascii="方正仿宋_GBK" w:eastAsia="方正仿宋_GBK" w:hAnsi="等线" w:cs="Times New Roman" w:hint="eastAsia"/>
          <w:color w:val="000000" w:themeColor="text1"/>
          <w:spacing w:val="-6"/>
          <w:sz w:val="32"/>
          <w:szCs w:val="32"/>
        </w:rPr>
        <w:t>（四）具有海外知识产权纠纷应对的服务经验和典型案例；</w:t>
      </w:r>
    </w:p>
    <w:p w:rsidR="00E64500" w:rsidRPr="00A70678" w:rsidRDefault="00E64500" w:rsidP="007F22DC">
      <w:pPr>
        <w:spacing w:line="576" w:lineRule="exact"/>
        <w:ind w:firstLineChars="200" w:firstLine="640"/>
        <w:jc w:val="left"/>
        <w:rPr>
          <w:rFonts w:ascii="方正仿宋_GBK" w:eastAsia="方正仿宋_GBK" w:hAnsi="等线" w:cs="Times New Roman"/>
          <w:color w:val="000000" w:themeColor="text1"/>
          <w:sz w:val="32"/>
          <w:szCs w:val="32"/>
        </w:rPr>
      </w:pPr>
      <w:r w:rsidRPr="00A70678">
        <w:rPr>
          <w:rFonts w:ascii="方正仿宋_GBK" w:eastAsia="方正仿宋_GBK" w:hAnsi="等线" w:cs="Times New Roman" w:hint="eastAsia"/>
          <w:color w:val="000000" w:themeColor="text1"/>
          <w:sz w:val="32"/>
          <w:szCs w:val="32"/>
        </w:rPr>
        <w:t>（五）具有健全的组织管理机制，有完善的管理制度、工作流程和服务标准。</w:t>
      </w:r>
    </w:p>
    <w:p w:rsidR="00E64500" w:rsidRPr="00A70678" w:rsidRDefault="00E64500" w:rsidP="007F22DC">
      <w:pPr>
        <w:spacing w:line="576" w:lineRule="exact"/>
        <w:ind w:firstLineChars="200" w:firstLine="640"/>
        <w:jc w:val="left"/>
        <w:rPr>
          <w:rFonts w:ascii="方正仿宋_GBK" w:eastAsia="方正仿宋_GBK" w:hAnsi="等线" w:cs="Times New Roman"/>
          <w:color w:val="000000" w:themeColor="text1"/>
          <w:sz w:val="32"/>
          <w:szCs w:val="32"/>
        </w:rPr>
      </w:pPr>
      <w:r w:rsidRPr="00A70678">
        <w:rPr>
          <w:rFonts w:ascii="方正黑体_GBK" w:eastAsia="方正黑体_GBK" w:hAnsi="等线" w:cs="Times New Roman" w:hint="eastAsia"/>
          <w:color w:val="000000" w:themeColor="text1"/>
          <w:sz w:val="32"/>
          <w:szCs w:val="32"/>
        </w:rPr>
        <w:t>第四条</w:t>
      </w:r>
      <w:r w:rsidRPr="00A70678">
        <w:rPr>
          <w:rFonts w:ascii="方正仿宋_GBK" w:eastAsia="方正仿宋_GBK" w:hAnsi="等线" w:cs="Times New Roman" w:hint="eastAsia"/>
          <w:color w:val="000000" w:themeColor="text1"/>
          <w:sz w:val="32"/>
          <w:szCs w:val="32"/>
        </w:rPr>
        <w:t xml:space="preserve"> 工作站申报与设立程序：</w:t>
      </w:r>
    </w:p>
    <w:p w:rsidR="00E64500" w:rsidRPr="00A70678" w:rsidRDefault="00E64500" w:rsidP="007F22DC">
      <w:pPr>
        <w:spacing w:line="576" w:lineRule="exact"/>
        <w:ind w:firstLineChars="200" w:firstLine="640"/>
        <w:jc w:val="left"/>
        <w:rPr>
          <w:rFonts w:ascii="方正仿宋_GBK" w:eastAsia="方正仿宋_GBK" w:hAnsi="等线" w:cs="Times New Roman"/>
          <w:color w:val="000000" w:themeColor="text1"/>
          <w:sz w:val="32"/>
          <w:szCs w:val="32"/>
        </w:rPr>
      </w:pPr>
      <w:r w:rsidRPr="00A70678">
        <w:rPr>
          <w:rFonts w:ascii="方正仿宋_GBK" w:eastAsia="方正仿宋_GBK" w:hAnsi="等线" w:cs="Times New Roman" w:hint="eastAsia"/>
          <w:color w:val="000000" w:themeColor="text1"/>
          <w:sz w:val="32"/>
          <w:szCs w:val="32"/>
        </w:rPr>
        <w:t>（一）申报单位按照属地原则，向所属区县知识产权管理部门提出申报；</w:t>
      </w:r>
    </w:p>
    <w:p w:rsidR="00E64500" w:rsidRPr="00A70678" w:rsidRDefault="00E64500" w:rsidP="007F22DC">
      <w:pPr>
        <w:spacing w:line="576" w:lineRule="exact"/>
        <w:ind w:firstLineChars="200" w:firstLine="640"/>
        <w:jc w:val="left"/>
        <w:rPr>
          <w:rFonts w:ascii="方正仿宋_GBK" w:eastAsia="方正仿宋_GBK" w:hAnsi="等线" w:cs="Times New Roman"/>
          <w:color w:val="000000" w:themeColor="text1"/>
          <w:sz w:val="32"/>
          <w:szCs w:val="32"/>
        </w:rPr>
      </w:pPr>
      <w:r w:rsidRPr="00A70678">
        <w:rPr>
          <w:rFonts w:ascii="方正仿宋_GBK" w:eastAsia="方正仿宋_GBK" w:hAnsi="等线" w:cs="Times New Roman" w:hint="eastAsia"/>
          <w:color w:val="000000" w:themeColor="text1"/>
          <w:sz w:val="32"/>
          <w:szCs w:val="32"/>
        </w:rPr>
        <w:t>（二）申报单位所在的区县知识产权管理部门负责审核推荐，并向重庆市知识产权局报送有关材料；</w:t>
      </w:r>
    </w:p>
    <w:p w:rsidR="00E64500" w:rsidRPr="00A70678" w:rsidRDefault="00E64500" w:rsidP="007F22DC">
      <w:pPr>
        <w:spacing w:line="576" w:lineRule="exact"/>
        <w:ind w:firstLineChars="200" w:firstLine="640"/>
        <w:jc w:val="left"/>
        <w:rPr>
          <w:rFonts w:ascii="方正仿宋_GBK" w:eastAsia="方正仿宋_GBK" w:hAnsi="等线" w:cs="Times New Roman"/>
          <w:color w:val="000000" w:themeColor="text1"/>
          <w:sz w:val="32"/>
          <w:szCs w:val="32"/>
        </w:rPr>
      </w:pPr>
      <w:r w:rsidRPr="00A70678">
        <w:rPr>
          <w:rFonts w:ascii="方正仿宋_GBK" w:eastAsia="方正仿宋_GBK" w:hAnsi="等线" w:cs="Times New Roman" w:hint="eastAsia"/>
          <w:color w:val="000000" w:themeColor="text1"/>
          <w:sz w:val="32"/>
          <w:szCs w:val="32"/>
        </w:rPr>
        <w:t>（三）重庆市知识产权局根据申报条件，结合申报材料，组织专家对申报单位进行评审，提出拟立项名单并提请局长办公会审议；</w:t>
      </w:r>
    </w:p>
    <w:p w:rsidR="00E64500" w:rsidRPr="00A70678" w:rsidRDefault="00E64500" w:rsidP="007F22DC">
      <w:pPr>
        <w:spacing w:line="576" w:lineRule="exact"/>
        <w:ind w:firstLineChars="200" w:firstLine="640"/>
        <w:jc w:val="left"/>
        <w:rPr>
          <w:rFonts w:ascii="方正仿宋_GBK" w:eastAsia="方正仿宋_GBK" w:hAnsi="等线" w:cs="Times New Roman"/>
          <w:color w:val="000000" w:themeColor="text1"/>
          <w:sz w:val="32"/>
          <w:szCs w:val="32"/>
        </w:rPr>
      </w:pPr>
      <w:r w:rsidRPr="00A70678">
        <w:rPr>
          <w:rFonts w:ascii="方正仿宋_GBK" w:eastAsia="方正仿宋_GBK" w:hAnsi="等线" w:cs="Times New Roman" w:hint="eastAsia"/>
          <w:color w:val="000000" w:themeColor="text1"/>
          <w:sz w:val="32"/>
          <w:szCs w:val="32"/>
        </w:rPr>
        <w:t>（四）重庆市知识产权局局长办公会审议确定拟立项名单并予以公示，经公示无异议的，由重庆市知识产权局批准设立并授牌。</w:t>
      </w:r>
    </w:p>
    <w:p w:rsidR="00E64500" w:rsidRPr="00A70678" w:rsidRDefault="00E64500" w:rsidP="007F22DC">
      <w:pPr>
        <w:spacing w:line="576" w:lineRule="exact"/>
        <w:ind w:firstLineChars="200" w:firstLine="640"/>
        <w:jc w:val="left"/>
        <w:rPr>
          <w:rFonts w:ascii="方正仿宋_GBK" w:eastAsia="方正仿宋_GBK" w:hAnsi="等线" w:cs="Times New Roman"/>
          <w:color w:val="000000" w:themeColor="text1"/>
          <w:sz w:val="32"/>
          <w:szCs w:val="32"/>
        </w:rPr>
      </w:pPr>
      <w:r w:rsidRPr="00A70678">
        <w:rPr>
          <w:rFonts w:ascii="方正黑体_GBK" w:eastAsia="方正黑体_GBK" w:hAnsi="等线" w:cs="Times New Roman" w:hint="eastAsia"/>
          <w:color w:val="000000" w:themeColor="text1"/>
          <w:sz w:val="32"/>
          <w:szCs w:val="32"/>
        </w:rPr>
        <w:t xml:space="preserve">第五条 </w:t>
      </w:r>
      <w:r w:rsidRPr="00A70678">
        <w:rPr>
          <w:rFonts w:ascii="方正仿宋_GBK" w:eastAsia="方正仿宋_GBK" w:hAnsi="等线" w:cs="Times New Roman" w:hint="eastAsia"/>
          <w:color w:val="000000" w:themeColor="text1"/>
          <w:sz w:val="32"/>
          <w:szCs w:val="32"/>
        </w:rPr>
        <w:t>工作站的主要职责是</w:t>
      </w:r>
      <w:r w:rsidRPr="00A70678">
        <w:rPr>
          <w:rFonts w:ascii="方正仿宋_GBK" w:eastAsia="方正仿宋_GBK" w:hAnsi="等线" w:cs="Times New Roman"/>
          <w:color w:val="000000" w:themeColor="text1"/>
          <w:sz w:val="32"/>
          <w:szCs w:val="32"/>
        </w:rPr>
        <w:t>：</w:t>
      </w:r>
    </w:p>
    <w:p w:rsidR="00E64500" w:rsidRPr="00A70678" w:rsidRDefault="00E64500" w:rsidP="007F22DC">
      <w:pPr>
        <w:spacing w:line="576" w:lineRule="exact"/>
        <w:ind w:firstLineChars="200" w:firstLine="640"/>
        <w:jc w:val="left"/>
        <w:rPr>
          <w:rFonts w:ascii="方正仿宋_GBK" w:eastAsia="方正仿宋_GBK" w:hAnsi="等线" w:cs="Times New Roman"/>
          <w:color w:val="000000" w:themeColor="text1"/>
          <w:sz w:val="32"/>
          <w:szCs w:val="32"/>
        </w:rPr>
      </w:pPr>
      <w:r w:rsidRPr="00A70678">
        <w:rPr>
          <w:rFonts w:ascii="方正仿宋_GBK" w:eastAsia="方正仿宋_GBK" w:hAnsi="等线" w:cs="Times New Roman" w:hint="eastAsia"/>
          <w:color w:val="000000" w:themeColor="text1"/>
          <w:sz w:val="32"/>
          <w:szCs w:val="32"/>
        </w:rPr>
        <w:t>（一）海外知识产权纠纷信息收集与报送。设置咨询和受理窗口，开通专门的咨询和受理电话，收集所在领域企业遭遇的海外知识产权纠纷信息和典型案例。定期征询企业对海外知识产权纠纷应对指导工作的需求和意见。</w:t>
      </w:r>
    </w:p>
    <w:p w:rsidR="00E64500" w:rsidRPr="00A70678" w:rsidRDefault="00E64500" w:rsidP="007F22DC">
      <w:pPr>
        <w:spacing w:line="576" w:lineRule="exact"/>
        <w:ind w:firstLineChars="200" w:firstLine="640"/>
        <w:jc w:val="left"/>
        <w:rPr>
          <w:rFonts w:ascii="方正仿宋_GBK" w:eastAsia="方正仿宋_GBK" w:hAnsi="等线" w:cs="Times New Roman"/>
          <w:color w:val="000000" w:themeColor="text1"/>
          <w:sz w:val="32"/>
          <w:szCs w:val="32"/>
        </w:rPr>
      </w:pPr>
      <w:r w:rsidRPr="00A70678">
        <w:rPr>
          <w:rFonts w:ascii="方正仿宋_GBK" w:eastAsia="方正仿宋_GBK" w:hAnsi="等线" w:cs="Times New Roman" w:hint="eastAsia"/>
          <w:color w:val="000000" w:themeColor="text1"/>
          <w:sz w:val="32"/>
          <w:szCs w:val="32"/>
        </w:rPr>
        <w:t>（二）海外知识产权纠纷案件业务指导。接收企业海外纠纷应对指导申请并提供指导服务，必要时组织专家研究提出应对建议。做好受理案件的咨询指导和跟踪反馈。</w:t>
      </w:r>
    </w:p>
    <w:p w:rsidR="00E64500" w:rsidRPr="00A70678" w:rsidRDefault="00E64500" w:rsidP="007F22DC">
      <w:pPr>
        <w:spacing w:line="576" w:lineRule="exact"/>
        <w:ind w:firstLineChars="200" w:firstLine="640"/>
        <w:jc w:val="left"/>
        <w:rPr>
          <w:rFonts w:ascii="方正仿宋_GBK" w:eastAsia="方正仿宋_GBK" w:hAnsi="等线" w:cs="Times New Roman"/>
          <w:color w:val="000000" w:themeColor="text1"/>
          <w:sz w:val="32"/>
          <w:szCs w:val="32"/>
        </w:rPr>
      </w:pPr>
      <w:r w:rsidRPr="00A70678">
        <w:rPr>
          <w:rFonts w:ascii="方正仿宋_GBK" w:eastAsia="方正仿宋_GBK" w:hAnsi="等线" w:cs="Times New Roman" w:hint="eastAsia"/>
          <w:color w:val="000000" w:themeColor="text1"/>
          <w:sz w:val="32"/>
          <w:szCs w:val="32"/>
        </w:rPr>
        <w:t>（三）海外知识产权风险防控培训和宣传。组织开展海外知识产权风险防范和纠纷应对培训和宣传工作。</w:t>
      </w:r>
    </w:p>
    <w:p w:rsidR="00E64500" w:rsidRPr="00A70678" w:rsidRDefault="00E64500" w:rsidP="007F22DC">
      <w:pPr>
        <w:spacing w:line="576" w:lineRule="exact"/>
        <w:ind w:firstLineChars="200" w:firstLine="640"/>
        <w:jc w:val="left"/>
        <w:rPr>
          <w:rFonts w:ascii="方正仿宋_GBK" w:eastAsia="方正仿宋_GBK" w:hAnsi="等线" w:cs="Times New Roman"/>
          <w:color w:val="000000" w:themeColor="text1"/>
          <w:sz w:val="32"/>
          <w:szCs w:val="32"/>
        </w:rPr>
      </w:pPr>
      <w:r w:rsidRPr="00A70678">
        <w:rPr>
          <w:rFonts w:ascii="方正仿宋_GBK" w:eastAsia="方正仿宋_GBK" w:hAnsi="等线" w:cs="Times New Roman" w:hint="eastAsia"/>
          <w:color w:val="000000" w:themeColor="text1"/>
          <w:sz w:val="32"/>
          <w:szCs w:val="32"/>
        </w:rPr>
        <w:t>（四）海外知识产权纠纷应对资源协调。指导企业对接优质知识产权服务机构，帮助企业快速、精准获取专业知识产权服务。</w:t>
      </w:r>
    </w:p>
    <w:p w:rsidR="00E64500" w:rsidRPr="00A70678" w:rsidRDefault="00E64500" w:rsidP="007F22DC">
      <w:pPr>
        <w:spacing w:line="576" w:lineRule="exact"/>
        <w:ind w:firstLineChars="200" w:firstLine="640"/>
        <w:jc w:val="left"/>
        <w:rPr>
          <w:rFonts w:ascii="方正仿宋_GBK" w:eastAsia="方正仿宋_GBK" w:hAnsi="等线" w:cs="Times New Roman"/>
          <w:color w:val="000000" w:themeColor="text1"/>
          <w:sz w:val="32"/>
          <w:szCs w:val="32"/>
        </w:rPr>
      </w:pPr>
      <w:r w:rsidRPr="00A70678">
        <w:rPr>
          <w:rFonts w:ascii="方正仿宋_GBK" w:eastAsia="方正仿宋_GBK" w:hAnsi="等线" w:cs="Times New Roman" w:hint="eastAsia"/>
          <w:color w:val="000000" w:themeColor="text1"/>
          <w:sz w:val="32"/>
          <w:szCs w:val="32"/>
        </w:rPr>
        <w:t>（五）其他知识产权延伸服务工作。</w:t>
      </w:r>
    </w:p>
    <w:p w:rsidR="00E64500" w:rsidRPr="00A70678" w:rsidRDefault="00E64500" w:rsidP="007F22DC">
      <w:pPr>
        <w:spacing w:line="576" w:lineRule="exact"/>
        <w:ind w:firstLineChars="200" w:firstLine="640"/>
        <w:jc w:val="left"/>
        <w:rPr>
          <w:rFonts w:ascii="方正仿宋_GBK" w:eastAsia="方正仿宋_GBK" w:hAnsi="等线" w:cs="Times New Roman"/>
          <w:color w:val="000000" w:themeColor="text1"/>
          <w:sz w:val="32"/>
          <w:szCs w:val="32"/>
        </w:rPr>
      </w:pPr>
      <w:r w:rsidRPr="00A70678">
        <w:rPr>
          <w:rFonts w:ascii="方正黑体_GBK" w:eastAsia="方正黑体_GBK" w:hAnsi="等线" w:cs="Times New Roman" w:hint="eastAsia"/>
          <w:color w:val="000000" w:themeColor="text1"/>
          <w:sz w:val="32"/>
          <w:szCs w:val="32"/>
        </w:rPr>
        <w:t xml:space="preserve">第六条 </w:t>
      </w:r>
      <w:r w:rsidRPr="00A70678">
        <w:rPr>
          <w:rFonts w:ascii="方正仿宋_GBK" w:eastAsia="方正仿宋_GBK" w:hAnsi="等线" w:cs="Times New Roman" w:hint="eastAsia"/>
          <w:color w:val="000000" w:themeColor="text1"/>
          <w:sz w:val="32"/>
          <w:szCs w:val="32"/>
        </w:rPr>
        <w:t>各级知识产权管理部门的主要职责是：</w:t>
      </w:r>
    </w:p>
    <w:p w:rsidR="00E64500" w:rsidRPr="00A70678" w:rsidRDefault="00E64500" w:rsidP="007F22DC">
      <w:pPr>
        <w:spacing w:line="576" w:lineRule="exact"/>
        <w:ind w:firstLineChars="200" w:firstLine="640"/>
        <w:jc w:val="left"/>
        <w:rPr>
          <w:rFonts w:ascii="方正仿宋_GBK" w:eastAsia="方正仿宋_GBK" w:hAnsi="等线" w:cs="Times New Roman"/>
          <w:color w:val="000000" w:themeColor="text1"/>
          <w:sz w:val="32"/>
          <w:szCs w:val="32"/>
        </w:rPr>
      </w:pPr>
      <w:r w:rsidRPr="00A70678">
        <w:rPr>
          <w:rFonts w:ascii="方正仿宋_GBK" w:eastAsia="方正仿宋_GBK" w:hAnsi="等线" w:cs="Times New Roman" w:hint="eastAsia"/>
          <w:color w:val="000000" w:themeColor="text1"/>
          <w:sz w:val="32"/>
          <w:szCs w:val="32"/>
        </w:rPr>
        <w:t>（一）重庆市知识产权局负责工作站的布局规划、业务管理和运行监督，组织开展专题研讨和经验交流等活动；</w:t>
      </w:r>
    </w:p>
    <w:p w:rsidR="00E64500" w:rsidRPr="00A70678" w:rsidRDefault="00E64500" w:rsidP="007F22DC">
      <w:pPr>
        <w:spacing w:line="576" w:lineRule="exact"/>
        <w:ind w:firstLineChars="200" w:firstLine="640"/>
        <w:jc w:val="left"/>
        <w:rPr>
          <w:rFonts w:ascii="方正仿宋_GBK" w:eastAsia="方正仿宋_GBK" w:hAnsi="等线" w:cs="Times New Roman"/>
          <w:color w:val="000000" w:themeColor="text1"/>
          <w:sz w:val="32"/>
          <w:szCs w:val="32"/>
        </w:rPr>
      </w:pPr>
      <w:r w:rsidRPr="00A70678">
        <w:rPr>
          <w:rFonts w:ascii="方正仿宋_GBK" w:eastAsia="方正仿宋_GBK" w:hAnsi="等线" w:cs="Times New Roman" w:hint="eastAsia"/>
          <w:color w:val="000000" w:themeColor="text1"/>
          <w:sz w:val="32"/>
          <w:szCs w:val="32"/>
        </w:rPr>
        <w:t>（二）工作站所在的区县知识产权管理部门负责本地区工作站的业务工作指导，配合市知识产权局做好工作站的管理监督等工作，结合本地实际，为工作站设立及运行提供必要的政策支持。</w:t>
      </w:r>
    </w:p>
    <w:p w:rsidR="00E64500" w:rsidRPr="00A70678" w:rsidRDefault="00E64500" w:rsidP="007F22DC">
      <w:pPr>
        <w:spacing w:line="576" w:lineRule="exact"/>
        <w:ind w:firstLineChars="200" w:firstLine="640"/>
        <w:jc w:val="left"/>
        <w:rPr>
          <w:rFonts w:ascii="方正仿宋_GBK" w:eastAsia="方正仿宋_GBK" w:hAnsi="等线" w:cs="Times New Roman"/>
          <w:color w:val="000000" w:themeColor="text1"/>
          <w:sz w:val="32"/>
          <w:szCs w:val="32"/>
        </w:rPr>
      </w:pPr>
      <w:r w:rsidRPr="00A70678">
        <w:rPr>
          <w:rFonts w:ascii="方正黑体_GBK" w:eastAsia="方正黑体_GBK" w:hAnsi="等线" w:cs="Times New Roman" w:hint="eastAsia"/>
          <w:color w:val="000000" w:themeColor="text1"/>
          <w:sz w:val="32"/>
          <w:szCs w:val="32"/>
        </w:rPr>
        <w:t xml:space="preserve">第七条 </w:t>
      </w:r>
      <w:r w:rsidRPr="00A70678">
        <w:rPr>
          <w:rFonts w:ascii="方正仿宋_GBK" w:eastAsia="方正仿宋_GBK" w:hAnsi="等线" w:cs="Times New Roman" w:hint="eastAsia"/>
          <w:color w:val="000000" w:themeColor="text1"/>
          <w:sz w:val="32"/>
          <w:szCs w:val="32"/>
        </w:rPr>
        <w:t>工作站应当每季度末25日前向重庆市知识产权局报送季度指导案件信息，每年12月底前报送年度工作总结和下一年工作计划。</w:t>
      </w:r>
    </w:p>
    <w:p w:rsidR="00E64500" w:rsidRPr="00A70678" w:rsidRDefault="00E64500" w:rsidP="007F22DC">
      <w:pPr>
        <w:spacing w:line="576" w:lineRule="exact"/>
        <w:ind w:firstLineChars="200" w:firstLine="640"/>
        <w:jc w:val="left"/>
        <w:rPr>
          <w:rFonts w:ascii="方正仿宋_GBK" w:eastAsia="方正仿宋_GBK" w:hAnsi="等线" w:cs="Times New Roman"/>
          <w:color w:val="000000" w:themeColor="text1"/>
          <w:sz w:val="32"/>
          <w:szCs w:val="32"/>
        </w:rPr>
      </w:pPr>
      <w:r w:rsidRPr="00A70678">
        <w:rPr>
          <w:rFonts w:ascii="方正黑体_GBK" w:eastAsia="方正黑体_GBK" w:hAnsi="等线" w:cs="Times New Roman" w:hint="eastAsia"/>
          <w:color w:val="000000" w:themeColor="text1"/>
          <w:sz w:val="32"/>
          <w:szCs w:val="32"/>
        </w:rPr>
        <w:t xml:space="preserve">第八条 </w:t>
      </w:r>
      <w:r w:rsidRPr="00A70678">
        <w:rPr>
          <w:rFonts w:ascii="方正仿宋_GBK" w:eastAsia="方正仿宋_GBK" w:hAnsi="等线" w:cs="Times New Roman" w:hint="eastAsia"/>
          <w:color w:val="000000" w:themeColor="text1"/>
          <w:sz w:val="32"/>
          <w:szCs w:val="32"/>
        </w:rPr>
        <w:t>重庆市知识产权局对工作站实行考核验收和动态管理。工作站建设期为1年，建设期满后，重庆市知识产权局组织开展年度考核。通过考核的，纳入知识产权保护示范创建资助目录，考核不合格的，限期三个月进行整改，整改不合格的，取消工作站资格。</w:t>
      </w:r>
    </w:p>
    <w:p w:rsidR="00E64500" w:rsidRPr="00A70678" w:rsidRDefault="00E64500" w:rsidP="007F22DC">
      <w:pPr>
        <w:spacing w:line="576" w:lineRule="exact"/>
        <w:ind w:firstLineChars="200" w:firstLine="640"/>
        <w:jc w:val="left"/>
        <w:rPr>
          <w:rFonts w:ascii="方正仿宋_GBK" w:eastAsia="方正仿宋_GBK" w:hAnsi="等线" w:cs="Times New Roman"/>
          <w:color w:val="000000" w:themeColor="text1"/>
          <w:sz w:val="32"/>
          <w:szCs w:val="32"/>
        </w:rPr>
      </w:pPr>
      <w:r w:rsidRPr="00A70678">
        <w:rPr>
          <w:rFonts w:ascii="方正仿宋_GBK" w:eastAsia="方正仿宋_GBK" w:hAnsi="等线" w:cs="Times New Roman" w:hint="eastAsia"/>
          <w:color w:val="000000" w:themeColor="text1"/>
          <w:sz w:val="32"/>
          <w:szCs w:val="32"/>
        </w:rPr>
        <w:t>对已建设运行的工作站实行年度</w:t>
      </w:r>
      <w:r w:rsidRPr="00A70678">
        <w:rPr>
          <w:rFonts w:ascii="方正仿宋_GBK" w:eastAsia="方正仿宋_GBK" w:hAnsi="等线" w:cs="Times New Roman"/>
          <w:color w:val="000000" w:themeColor="text1"/>
          <w:sz w:val="32"/>
          <w:szCs w:val="32"/>
        </w:rPr>
        <w:t>考核</w:t>
      </w:r>
      <w:r w:rsidRPr="00A70678">
        <w:rPr>
          <w:rFonts w:ascii="方正仿宋_GBK" w:eastAsia="方正仿宋_GBK" w:hAnsi="等线" w:cs="Times New Roman" w:hint="eastAsia"/>
          <w:color w:val="000000" w:themeColor="text1"/>
          <w:sz w:val="32"/>
          <w:szCs w:val="32"/>
        </w:rPr>
        <w:t>。年度</w:t>
      </w:r>
      <w:r w:rsidRPr="00A70678">
        <w:rPr>
          <w:rFonts w:ascii="方正仿宋_GBK" w:eastAsia="方正仿宋_GBK" w:hAnsi="等线" w:cs="Times New Roman"/>
          <w:color w:val="000000" w:themeColor="text1"/>
          <w:sz w:val="32"/>
          <w:szCs w:val="32"/>
        </w:rPr>
        <w:t>考核</w:t>
      </w:r>
      <w:r w:rsidRPr="00A70678">
        <w:rPr>
          <w:rFonts w:ascii="方正仿宋_GBK" w:eastAsia="方正仿宋_GBK" w:hAnsi="等线" w:cs="Times New Roman" w:hint="eastAsia"/>
          <w:color w:val="000000" w:themeColor="text1"/>
          <w:sz w:val="32"/>
          <w:szCs w:val="32"/>
        </w:rPr>
        <w:t>分为优秀、合格和不合格。对</w:t>
      </w:r>
      <w:r w:rsidRPr="00A70678">
        <w:rPr>
          <w:rFonts w:ascii="方正仿宋_GBK" w:eastAsia="方正仿宋_GBK" w:hAnsi="等线" w:cs="Times New Roman"/>
          <w:color w:val="000000" w:themeColor="text1"/>
          <w:sz w:val="32"/>
          <w:szCs w:val="32"/>
        </w:rPr>
        <w:t>考核结果为合格</w:t>
      </w:r>
      <w:r w:rsidRPr="00A70678">
        <w:rPr>
          <w:rFonts w:ascii="方正仿宋_GBK" w:eastAsia="方正仿宋_GBK" w:hAnsi="等线" w:cs="Times New Roman" w:hint="eastAsia"/>
          <w:color w:val="000000" w:themeColor="text1"/>
          <w:sz w:val="32"/>
          <w:szCs w:val="32"/>
        </w:rPr>
        <w:t>以上</w:t>
      </w:r>
      <w:r w:rsidRPr="00A70678">
        <w:rPr>
          <w:rFonts w:ascii="方正仿宋_GBK" w:eastAsia="方正仿宋_GBK" w:hAnsi="等线" w:cs="Times New Roman"/>
          <w:color w:val="000000" w:themeColor="text1"/>
          <w:sz w:val="32"/>
          <w:szCs w:val="32"/>
        </w:rPr>
        <w:t>的，在相应的政策支持上给予倾斜</w:t>
      </w:r>
      <w:r w:rsidRPr="00A70678">
        <w:rPr>
          <w:rFonts w:ascii="方正仿宋_GBK" w:eastAsia="方正仿宋_GBK" w:hAnsi="等线" w:cs="Times New Roman" w:hint="eastAsia"/>
          <w:color w:val="000000" w:themeColor="text1"/>
          <w:sz w:val="32"/>
          <w:szCs w:val="32"/>
        </w:rPr>
        <w:t>。</w:t>
      </w:r>
      <w:r w:rsidRPr="00A70678">
        <w:rPr>
          <w:rFonts w:ascii="方正仿宋_GBK" w:eastAsia="方正仿宋_GBK" w:hAnsi="等线" w:cs="Times New Roman"/>
          <w:color w:val="000000" w:themeColor="text1"/>
          <w:sz w:val="32"/>
          <w:szCs w:val="32"/>
        </w:rPr>
        <w:t>考核不合格或无正当理由</w:t>
      </w:r>
      <w:r w:rsidRPr="00A70678">
        <w:rPr>
          <w:rFonts w:ascii="方正仿宋_GBK" w:eastAsia="方正仿宋_GBK" w:hAnsi="等线" w:cs="Times New Roman" w:hint="eastAsia"/>
          <w:color w:val="000000" w:themeColor="text1"/>
          <w:sz w:val="32"/>
          <w:szCs w:val="32"/>
        </w:rPr>
        <w:t>拒不参加</w:t>
      </w:r>
      <w:r w:rsidRPr="00A70678">
        <w:rPr>
          <w:rFonts w:ascii="方正仿宋_GBK" w:eastAsia="方正仿宋_GBK" w:hAnsi="等线" w:cs="Times New Roman"/>
          <w:color w:val="000000" w:themeColor="text1"/>
          <w:sz w:val="32"/>
          <w:szCs w:val="32"/>
        </w:rPr>
        <w:t>考核的，</w:t>
      </w:r>
      <w:r w:rsidRPr="00A70678">
        <w:rPr>
          <w:rFonts w:ascii="方正仿宋_GBK" w:eastAsia="方正仿宋_GBK" w:hAnsi="等线" w:cs="Times New Roman" w:hint="eastAsia"/>
          <w:color w:val="000000" w:themeColor="text1"/>
          <w:sz w:val="32"/>
          <w:szCs w:val="32"/>
        </w:rPr>
        <w:t>限期三个月进行整改，整改不合格的，取消工作站资格。</w:t>
      </w:r>
    </w:p>
    <w:p w:rsidR="00E64500" w:rsidRPr="00A70678" w:rsidRDefault="00E64500" w:rsidP="007F22DC">
      <w:pPr>
        <w:spacing w:line="576" w:lineRule="exact"/>
        <w:ind w:firstLineChars="200" w:firstLine="640"/>
        <w:jc w:val="left"/>
        <w:rPr>
          <w:rFonts w:ascii="方正仿宋_GBK" w:eastAsia="方正仿宋_GBK" w:hAnsi="等线" w:cs="Times New Roman"/>
          <w:color w:val="000000" w:themeColor="text1"/>
          <w:sz w:val="32"/>
          <w:szCs w:val="32"/>
        </w:rPr>
      </w:pPr>
      <w:r w:rsidRPr="00A70678">
        <w:rPr>
          <w:rFonts w:ascii="方正黑体_GBK" w:eastAsia="方正黑体_GBK" w:hAnsi="等线" w:cs="Times New Roman" w:hint="eastAsia"/>
          <w:color w:val="000000" w:themeColor="text1"/>
          <w:sz w:val="32"/>
          <w:szCs w:val="32"/>
        </w:rPr>
        <w:t xml:space="preserve">第九条 </w:t>
      </w:r>
      <w:r w:rsidRPr="00A70678">
        <w:rPr>
          <w:rFonts w:ascii="方正仿宋_GBK" w:eastAsia="方正仿宋_GBK" w:hAnsi="等线" w:cs="Times New Roman" w:hint="eastAsia"/>
          <w:color w:val="000000" w:themeColor="text1"/>
          <w:sz w:val="32"/>
          <w:szCs w:val="32"/>
        </w:rPr>
        <w:t>年度工作考核内容主要包括：海外知识产权纠纷信息收集与报送情况、案件业务指导情况、风险防控培训与宣传情况、应对资源协调情况和海外知识产权保护工作保障等。</w:t>
      </w:r>
    </w:p>
    <w:p w:rsidR="00E64500" w:rsidRPr="00A70678" w:rsidRDefault="00E64500" w:rsidP="007F22DC">
      <w:pPr>
        <w:spacing w:line="576" w:lineRule="exact"/>
        <w:ind w:firstLineChars="200" w:firstLine="640"/>
        <w:jc w:val="left"/>
        <w:rPr>
          <w:rFonts w:ascii="方正仿宋_GBK" w:eastAsia="方正仿宋_GBK" w:hAnsi="等线" w:cs="Times New Roman"/>
          <w:color w:val="000000" w:themeColor="text1"/>
          <w:sz w:val="32"/>
          <w:szCs w:val="32"/>
        </w:rPr>
      </w:pPr>
      <w:r w:rsidRPr="00A70678">
        <w:rPr>
          <w:rFonts w:ascii="方正黑体_GBK" w:eastAsia="方正黑体_GBK" w:hAnsi="等线" w:cs="Times New Roman" w:hint="eastAsia"/>
          <w:color w:val="000000" w:themeColor="text1"/>
          <w:sz w:val="32"/>
          <w:szCs w:val="32"/>
        </w:rPr>
        <w:t xml:space="preserve">第十条 </w:t>
      </w:r>
      <w:r w:rsidRPr="00A70678">
        <w:rPr>
          <w:rFonts w:ascii="方正仿宋_GBK" w:eastAsia="方正仿宋_GBK" w:hAnsi="等线" w:cs="Times New Roman" w:hint="eastAsia"/>
          <w:color w:val="000000" w:themeColor="text1"/>
          <w:sz w:val="32"/>
          <w:szCs w:val="32"/>
        </w:rPr>
        <w:t>本办法由重庆市知识产权局负责解释。</w:t>
      </w:r>
    </w:p>
    <w:p w:rsidR="00E64500" w:rsidRPr="00A70678" w:rsidRDefault="00E64500" w:rsidP="007F22DC">
      <w:pPr>
        <w:spacing w:line="576" w:lineRule="exact"/>
        <w:ind w:firstLineChars="200" w:firstLine="640"/>
        <w:jc w:val="left"/>
        <w:rPr>
          <w:rFonts w:ascii="方正仿宋_GBK" w:eastAsia="方正仿宋_GBK" w:hAnsi="等线" w:cs="Times New Roman"/>
          <w:color w:val="000000" w:themeColor="text1"/>
          <w:sz w:val="32"/>
          <w:szCs w:val="32"/>
        </w:rPr>
      </w:pPr>
      <w:r w:rsidRPr="00A70678">
        <w:rPr>
          <w:rFonts w:ascii="方正黑体_GBK" w:eastAsia="方正黑体_GBK" w:hAnsi="等线" w:cs="Times New Roman" w:hint="eastAsia"/>
          <w:color w:val="000000" w:themeColor="text1"/>
          <w:sz w:val="32"/>
          <w:szCs w:val="32"/>
        </w:rPr>
        <w:t xml:space="preserve">第十一条 </w:t>
      </w:r>
      <w:r w:rsidRPr="00A70678">
        <w:rPr>
          <w:rFonts w:ascii="方正仿宋_GBK" w:eastAsia="方正仿宋_GBK" w:hAnsi="等线" w:cs="Times New Roman" w:hint="eastAsia"/>
          <w:color w:val="000000" w:themeColor="text1"/>
          <w:sz w:val="32"/>
          <w:szCs w:val="32"/>
        </w:rPr>
        <w:t>本办法自发布之日起试行。</w:t>
      </w:r>
    </w:p>
    <w:p w:rsidR="00E64500" w:rsidRPr="00A70678" w:rsidRDefault="00E64500" w:rsidP="007F22DC">
      <w:pPr>
        <w:spacing w:line="576" w:lineRule="exact"/>
        <w:ind w:firstLineChars="200" w:firstLine="640"/>
        <w:jc w:val="left"/>
        <w:rPr>
          <w:rFonts w:ascii="方正仿宋_GBK" w:eastAsia="方正仿宋_GBK" w:hAnsi="等线" w:cs="Times New Roman"/>
          <w:color w:val="000000" w:themeColor="text1"/>
          <w:sz w:val="32"/>
          <w:szCs w:val="32"/>
        </w:rPr>
      </w:pPr>
    </w:p>
    <w:p w:rsidR="000300CF" w:rsidRPr="00A70678" w:rsidRDefault="000300CF" w:rsidP="007F22DC">
      <w:pPr>
        <w:spacing w:line="576" w:lineRule="exact"/>
        <w:jc w:val="left"/>
        <w:rPr>
          <w:color w:val="000000" w:themeColor="text1"/>
        </w:rPr>
      </w:pPr>
    </w:p>
    <w:p w:rsidR="000300CF" w:rsidRPr="00A70678" w:rsidRDefault="000300CF" w:rsidP="007F22DC">
      <w:pPr>
        <w:spacing w:line="576" w:lineRule="exact"/>
        <w:jc w:val="left"/>
        <w:rPr>
          <w:color w:val="000000" w:themeColor="text1"/>
        </w:rPr>
      </w:pPr>
    </w:p>
    <w:p w:rsidR="000300CF" w:rsidRPr="00A70678" w:rsidRDefault="000300CF" w:rsidP="007F22DC">
      <w:pPr>
        <w:spacing w:line="576" w:lineRule="exact"/>
        <w:jc w:val="left"/>
        <w:rPr>
          <w:color w:val="000000" w:themeColor="text1"/>
        </w:rPr>
      </w:pPr>
    </w:p>
    <w:p w:rsidR="000300CF" w:rsidRPr="00A70678" w:rsidRDefault="000300CF" w:rsidP="007F22DC">
      <w:pPr>
        <w:spacing w:line="576" w:lineRule="exact"/>
        <w:jc w:val="left"/>
        <w:rPr>
          <w:color w:val="000000" w:themeColor="text1"/>
        </w:rPr>
      </w:pPr>
    </w:p>
    <w:p w:rsidR="000300CF" w:rsidRPr="00A70678" w:rsidRDefault="000300CF" w:rsidP="007F22DC">
      <w:pPr>
        <w:spacing w:line="576" w:lineRule="exact"/>
        <w:jc w:val="left"/>
        <w:rPr>
          <w:color w:val="000000" w:themeColor="text1"/>
        </w:rPr>
      </w:pPr>
    </w:p>
    <w:p w:rsidR="000300CF" w:rsidRPr="00A70678" w:rsidRDefault="000300CF" w:rsidP="007F22DC">
      <w:pPr>
        <w:spacing w:line="576" w:lineRule="exact"/>
        <w:jc w:val="left"/>
        <w:rPr>
          <w:color w:val="000000" w:themeColor="text1"/>
        </w:rPr>
      </w:pPr>
    </w:p>
    <w:p w:rsidR="000300CF" w:rsidRPr="00A70678" w:rsidRDefault="000300CF" w:rsidP="007F22DC">
      <w:pPr>
        <w:spacing w:line="576" w:lineRule="exact"/>
        <w:jc w:val="left"/>
        <w:rPr>
          <w:color w:val="000000" w:themeColor="text1"/>
        </w:rPr>
      </w:pPr>
    </w:p>
    <w:p w:rsidR="000300CF" w:rsidRPr="00A70678" w:rsidRDefault="000300CF" w:rsidP="007F22DC">
      <w:pPr>
        <w:spacing w:line="576" w:lineRule="exact"/>
        <w:jc w:val="left"/>
        <w:rPr>
          <w:color w:val="000000" w:themeColor="text1"/>
        </w:rPr>
      </w:pPr>
    </w:p>
    <w:p w:rsidR="000300CF" w:rsidRPr="00A70678" w:rsidRDefault="000300CF" w:rsidP="007F22DC">
      <w:pPr>
        <w:spacing w:line="576" w:lineRule="exact"/>
        <w:jc w:val="left"/>
        <w:rPr>
          <w:color w:val="000000" w:themeColor="text1"/>
        </w:rPr>
      </w:pPr>
    </w:p>
    <w:p w:rsidR="00CD55DA" w:rsidRPr="00A70678" w:rsidRDefault="00CD55DA" w:rsidP="007F22DC">
      <w:pPr>
        <w:spacing w:line="576" w:lineRule="exact"/>
        <w:jc w:val="left"/>
        <w:rPr>
          <w:color w:val="000000" w:themeColor="text1"/>
        </w:rPr>
      </w:pPr>
    </w:p>
    <w:p w:rsidR="00CD55DA" w:rsidRPr="00A70678" w:rsidRDefault="00CD55DA" w:rsidP="007F22DC">
      <w:pPr>
        <w:spacing w:line="576" w:lineRule="exact"/>
        <w:jc w:val="left"/>
        <w:rPr>
          <w:color w:val="000000" w:themeColor="text1"/>
        </w:rPr>
      </w:pPr>
    </w:p>
    <w:p w:rsidR="00CD55DA" w:rsidRPr="00A70678" w:rsidRDefault="00CD55DA" w:rsidP="007F22DC">
      <w:pPr>
        <w:spacing w:line="576" w:lineRule="exact"/>
        <w:jc w:val="left"/>
        <w:rPr>
          <w:color w:val="000000" w:themeColor="text1"/>
        </w:rPr>
      </w:pPr>
    </w:p>
    <w:p w:rsidR="00B75D9E" w:rsidRPr="00A70678" w:rsidRDefault="00B75D9E" w:rsidP="007F22DC">
      <w:pPr>
        <w:spacing w:line="576" w:lineRule="exact"/>
        <w:jc w:val="left"/>
        <w:rPr>
          <w:color w:val="000000" w:themeColor="text1"/>
        </w:rPr>
      </w:pPr>
    </w:p>
    <w:p w:rsidR="00B75D9E" w:rsidRPr="00A70678" w:rsidRDefault="00B75D9E" w:rsidP="007F22DC">
      <w:pPr>
        <w:spacing w:line="576" w:lineRule="exact"/>
        <w:jc w:val="left"/>
        <w:rPr>
          <w:color w:val="000000" w:themeColor="text1"/>
        </w:rPr>
      </w:pPr>
      <w:bookmarkStart w:id="0" w:name="_GoBack"/>
      <w:bookmarkEnd w:id="0"/>
    </w:p>
    <w:sectPr w:rsidR="00B75D9E" w:rsidRPr="00A70678" w:rsidSect="007F22DC">
      <w:footerReference w:type="even" r:id="rId6"/>
      <w:footerReference w:type="default" r:id="rId7"/>
      <w:pgSz w:w="11906" w:h="16838"/>
      <w:pgMar w:top="2098" w:right="1531" w:bottom="1985" w:left="1531" w:header="851" w:footer="1417"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04F" w:rsidRDefault="006B604F" w:rsidP="000300CF">
      <w:r>
        <w:separator/>
      </w:r>
    </w:p>
  </w:endnote>
  <w:endnote w:type="continuationSeparator" w:id="0">
    <w:p w:rsidR="006B604F" w:rsidRDefault="006B604F" w:rsidP="0003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黑体_GBK">
    <w:charset w:val="86"/>
    <w:family w:val="script"/>
    <w:pitch w:val="fixed"/>
    <w:sig w:usb0="00000001" w:usb1="080E0000" w:usb2="00000010" w:usb3="00000000" w:csb0="00040000" w:csb1="00000000"/>
  </w:font>
  <w:font w:name="Gungsuh">
    <w:charset w:val="81"/>
    <w:family w:val="roman"/>
    <w:pitch w:val="variable"/>
    <w:sig w:usb0="B00002AF" w:usb1="69D77CFB" w:usb2="00000030" w:usb3="00000000" w:csb0="0008009F" w:csb1="00000000"/>
  </w:font>
  <w:font w:name="方正小标宋_GBK">
    <w:charset w:val="86"/>
    <w:family w:val="script"/>
    <w:pitch w:val="fixed"/>
    <w:sig w:usb0="00000001" w:usb1="080E0000" w:usb2="00000010" w:usb3="00000000" w:csb0="00040000" w:csb1="00000000"/>
  </w:font>
  <w:font w:name="方正楷体_GBK">
    <w:charset w:val="86"/>
    <w:family w:val="script"/>
    <w:pitch w:val="fixed"/>
    <w:sig w:usb0="00000001" w:usb1="080E0000" w:usb2="00000010" w:usb3="00000000" w:csb0="00040000" w:csb1="00000000"/>
  </w:font>
  <w:font w:name="方正仿宋_GBK">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9E" w:rsidRDefault="00B75D9E" w:rsidP="007F22DC">
    <w:pPr>
      <w:pStyle w:val="a5"/>
      <w:ind w:firstLineChars="100" w:firstLine="280"/>
    </w:pPr>
    <w:r w:rsidRPr="004C5D0E">
      <w:rPr>
        <w:rFonts w:ascii="宋体" w:eastAsia="宋体" w:hAnsi="宋体" w:cs="等线" w:hint="eastAsia"/>
        <w:sz w:val="28"/>
        <w:szCs w:val="28"/>
      </w:rPr>
      <w:t xml:space="preserve">— </w:t>
    </w:r>
    <w:r w:rsidRPr="004C5D0E">
      <w:rPr>
        <w:rFonts w:ascii="宋体" w:eastAsia="宋体" w:hAnsi="宋体" w:cs="等线" w:hint="eastAsia"/>
        <w:sz w:val="28"/>
        <w:szCs w:val="28"/>
      </w:rPr>
      <w:fldChar w:fldCharType="begin"/>
    </w:r>
    <w:r w:rsidRPr="004C5D0E">
      <w:rPr>
        <w:rFonts w:ascii="宋体" w:eastAsia="宋体" w:hAnsi="宋体" w:cs="等线" w:hint="eastAsia"/>
        <w:sz w:val="28"/>
        <w:szCs w:val="28"/>
      </w:rPr>
      <w:instrText xml:space="preserve"> PAGE  \* MERGEFORMAT </w:instrText>
    </w:r>
    <w:r w:rsidRPr="004C5D0E">
      <w:rPr>
        <w:rFonts w:ascii="宋体" w:eastAsia="宋体" w:hAnsi="宋体" w:cs="等线" w:hint="eastAsia"/>
        <w:sz w:val="28"/>
        <w:szCs w:val="28"/>
      </w:rPr>
      <w:fldChar w:fldCharType="separate"/>
    </w:r>
    <w:r w:rsidR="00A70678">
      <w:rPr>
        <w:rFonts w:ascii="宋体" w:eastAsia="宋体" w:hAnsi="宋体" w:cs="等线"/>
        <w:noProof/>
        <w:sz w:val="28"/>
        <w:szCs w:val="28"/>
      </w:rPr>
      <w:t>4</w:t>
    </w:r>
    <w:r w:rsidRPr="004C5D0E">
      <w:rPr>
        <w:rFonts w:ascii="宋体" w:eastAsia="宋体" w:hAnsi="宋体" w:cs="等线" w:hint="eastAsia"/>
        <w:sz w:val="28"/>
        <w:szCs w:val="28"/>
      </w:rPr>
      <w:fldChar w:fldCharType="end"/>
    </w:r>
    <w:r w:rsidRPr="004C5D0E">
      <w:rPr>
        <w:rFonts w:ascii="宋体" w:eastAsia="宋体" w:hAnsi="宋体" w:cs="等线" w:hint="eastAsia"/>
        <w:sz w:val="28"/>
        <w:szCs w:val="2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D9E" w:rsidRDefault="00B75D9E" w:rsidP="007F22DC">
    <w:pPr>
      <w:pStyle w:val="a5"/>
      <w:wordWrap w:val="0"/>
      <w:jc w:val="right"/>
    </w:pPr>
    <w:r w:rsidRPr="004C5D0E">
      <w:rPr>
        <w:rFonts w:ascii="宋体" w:eastAsia="宋体" w:hAnsi="宋体" w:cs="等线" w:hint="eastAsia"/>
        <w:sz w:val="28"/>
        <w:szCs w:val="28"/>
      </w:rPr>
      <w:t xml:space="preserve">— </w:t>
    </w:r>
    <w:r w:rsidRPr="004C5D0E">
      <w:rPr>
        <w:rFonts w:ascii="宋体" w:eastAsia="宋体" w:hAnsi="宋体" w:cs="等线" w:hint="eastAsia"/>
        <w:sz w:val="28"/>
        <w:szCs w:val="28"/>
      </w:rPr>
      <w:fldChar w:fldCharType="begin"/>
    </w:r>
    <w:r w:rsidRPr="004C5D0E">
      <w:rPr>
        <w:rFonts w:ascii="宋体" w:eastAsia="宋体" w:hAnsi="宋体" w:cs="等线" w:hint="eastAsia"/>
        <w:sz w:val="28"/>
        <w:szCs w:val="28"/>
      </w:rPr>
      <w:instrText xml:space="preserve"> PAGE  \* MERGEFORMAT </w:instrText>
    </w:r>
    <w:r w:rsidRPr="004C5D0E">
      <w:rPr>
        <w:rFonts w:ascii="宋体" w:eastAsia="宋体" w:hAnsi="宋体" w:cs="等线" w:hint="eastAsia"/>
        <w:sz w:val="28"/>
        <w:szCs w:val="28"/>
      </w:rPr>
      <w:fldChar w:fldCharType="separate"/>
    </w:r>
    <w:r w:rsidR="00A70678">
      <w:rPr>
        <w:rFonts w:ascii="宋体" w:eastAsia="宋体" w:hAnsi="宋体" w:cs="等线"/>
        <w:noProof/>
        <w:sz w:val="28"/>
        <w:szCs w:val="28"/>
      </w:rPr>
      <w:t>1</w:t>
    </w:r>
    <w:r w:rsidRPr="004C5D0E">
      <w:rPr>
        <w:rFonts w:ascii="宋体" w:eastAsia="宋体" w:hAnsi="宋体" w:cs="等线" w:hint="eastAsia"/>
        <w:sz w:val="28"/>
        <w:szCs w:val="28"/>
      </w:rPr>
      <w:fldChar w:fldCharType="end"/>
    </w:r>
    <w:r w:rsidRPr="004C5D0E">
      <w:rPr>
        <w:rFonts w:ascii="宋体" w:eastAsia="宋体" w:hAnsi="宋体" w:cs="等线" w:hint="eastAsia"/>
        <w:sz w:val="28"/>
        <w:szCs w:val="28"/>
      </w:rPr>
      <w:t xml:space="preserve"> —</w:t>
    </w:r>
    <w:r>
      <w:rPr>
        <w:rFonts w:ascii="宋体" w:eastAsia="宋体" w:hAnsi="宋体" w:cs="等线" w:hint="eastAsia"/>
        <w:sz w:val="28"/>
        <w:szCs w:val="28"/>
      </w:rPr>
      <w:t xml:space="preserve"> </w:t>
    </w:r>
    <w:r>
      <w:rPr>
        <w:rFonts w:ascii="宋体" w:eastAsia="宋体" w:hAnsi="宋体" w:cs="等线"/>
        <w:sz w:val="28"/>
        <w:szCs w:val="2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04F" w:rsidRDefault="006B604F" w:rsidP="000300CF">
      <w:r>
        <w:separator/>
      </w:r>
    </w:p>
  </w:footnote>
  <w:footnote w:type="continuationSeparator" w:id="0">
    <w:p w:rsidR="006B604F" w:rsidRDefault="006B604F" w:rsidP="000300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s://113.207.111.33:8023/seeyon/officeservlet"/>
  </w:docVars>
  <w:rsids>
    <w:rsidRoot w:val="00BA2236"/>
    <w:rsid w:val="000300CF"/>
    <w:rsid w:val="00096A16"/>
    <w:rsid w:val="00104C86"/>
    <w:rsid w:val="00174BA7"/>
    <w:rsid w:val="00191762"/>
    <w:rsid w:val="006B604F"/>
    <w:rsid w:val="007A501E"/>
    <w:rsid w:val="007F22DC"/>
    <w:rsid w:val="00875092"/>
    <w:rsid w:val="00A70678"/>
    <w:rsid w:val="00B75D9E"/>
    <w:rsid w:val="00BA2236"/>
    <w:rsid w:val="00CD55DA"/>
    <w:rsid w:val="00DC2BF0"/>
    <w:rsid w:val="00E64500"/>
    <w:rsid w:val="00E93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AA3CADF9-A93C-4436-BB00-F818B56C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0C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300CF"/>
    <w:rPr>
      <w:sz w:val="18"/>
      <w:szCs w:val="18"/>
    </w:rPr>
  </w:style>
  <w:style w:type="paragraph" w:styleId="a5">
    <w:name w:val="footer"/>
    <w:basedOn w:val="a"/>
    <w:link w:val="a6"/>
    <w:uiPriority w:val="99"/>
    <w:unhideWhenUsed/>
    <w:rsid w:val="000300CF"/>
    <w:pPr>
      <w:tabs>
        <w:tab w:val="center" w:pos="4153"/>
        <w:tab w:val="right" w:pos="8306"/>
      </w:tabs>
      <w:snapToGrid w:val="0"/>
      <w:jc w:val="left"/>
    </w:pPr>
    <w:rPr>
      <w:sz w:val="18"/>
      <w:szCs w:val="18"/>
    </w:rPr>
  </w:style>
  <w:style w:type="character" w:customStyle="1" w:styleId="a6">
    <w:name w:val="页脚 字符"/>
    <w:basedOn w:val="a0"/>
    <w:link w:val="a5"/>
    <w:uiPriority w:val="99"/>
    <w:rsid w:val="000300CF"/>
    <w:rPr>
      <w:sz w:val="18"/>
      <w:szCs w:val="18"/>
    </w:rPr>
  </w:style>
  <w:style w:type="table" w:styleId="a7">
    <w:name w:val="Table Grid"/>
    <w:basedOn w:val="a1"/>
    <w:uiPriority w:val="39"/>
    <w:rsid w:val="00030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7"/>
    <w:uiPriority w:val="39"/>
    <w:qFormat/>
    <w:rsid w:val="00E6450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D55DA"/>
    <w:rPr>
      <w:color w:val="0563C1" w:themeColor="hyperlink"/>
      <w:u w:val="single"/>
    </w:rPr>
  </w:style>
  <w:style w:type="paragraph" w:styleId="a9">
    <w:name w:val="Balloon Text"/>
    <w:basedOn w:val="a"/>
    <w:link w:val="aa"/>
    <w:uiPriority w:val="99"/>
    <w:semiHidden/>
    <w:unhideWhenUsed/>
    <w:rsid w:val="00B75D9E"/>
    <w:rPr>
      <w:sz w:val="18"/>
      <w:szCs w:val="18"/>
    </w:rPr>
  </w:style>
  <w:style w:type="character" w:customStyle="1" w:styleId="aa">
    <w:name w:val="批注框文本 字符"/>
    <w:basedOn w:val="a0"/>
    <w:link w:val="a9"/>
    <w:uiPriority w:val="99"/>
    <w:semiHidden/>
    <w:rsid w:val="00B75D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192010">
      <w:bodyDiv w:val="1"/>
      <w:marLeft w:val="0"/>
      <w:marRight w:val="0"/>
      <w:marTop w:val="0"/>
      <w:marBottom w:val="0"/>
      <w:divBdr>
        <w:top w:val="none" w:sz="0" w:space="0" w:color="auto"/>
        <w:left w:val="none" w:sz="0" w:space="0" w:color="auto"/>
        <w:bottom w:val="none" w:sz="0" w:space="0" w:color="auto"/>
        <w:right w:val="none" w:sz="0" w:space="0" w:color="auto"/>
      </w:divBdr>
      <w:divsChild>
        <w:div w:id="48922514">
          <w:marLeft w:val="0"/>
          <w:marRight w:val="0"/>
          <w:marTop w:val="0"/>
          <w:marBottom w:val="510"/>
          <w:divBdr>
            <w:top w:val="none" w:sz="0" w:space="0" w:color="auto"/>
            <w:left w:val="none" w:sz="0" w:space="0" w:color="auto"/>
            <w:bottom w:val="none" w:sz="0" w:space="0" w:color="auto"/>
            <w:right w:val="none" w:sz="0" w:space="0" w:color="auto"/>
          </w:divBdr>
          <w:divsChild>
            <w:div w:id="206382479">
              <w:marLeft w:val="0"/>
              <w:marRight w:val="0"/>
              <w:marTop w:val="0"/>
              <w:marBottom w:val="0"/>
              <w:divBdr>
                <w:top w:val="single" w:sz="6" w:space="2" w:color="E5E5E5"/>
                <w:left w:val="single" w:sz="6" w:space="2" w:color="E5E5E5"/>
                <w:bottom w:val="single" w:sz="6" w:space="2" w:color="E5E5E5"/>
                <w:right w:val="single" w:sz="6" w:space="2" w:color="E5E5E5"/>
              </w:divBdr>
            </w:div>
          </w:divsChild>
        </w:div>
        <w:div w:id="832601806">
          <w:marLeft w:val="0"/>
          <w:marRight w:val="0"/>
          <w:marTop w:val="0"/>
          <w:marBottom w:val="0"/>
          <w:divBdr>
            <w:top w:val="single" w:sz="6" w:space="26" w:color="E5E5E5"/>
            <w:left w:val="none" w:sz="0" w:space="0" w:color="auto"/>
            <w:bottom w:val="none" w:sz="0" w:space="0" w:color="auto"/>
            <w:right w:val="none" w:sz="0" w:space="0" w:color="auto"/>
          </w:divBdr>
          <w:divsChild>
            <w:div w:id="718668738">
              <w:marLeft w:val="0"/>
              <w:marRight w:val="0"/>
              <w:marTop w:val="0"/>
              <w:marBottom w:val="0"/>
              <w:divBdr>
                <w:top w:val="none" w:sz="0" w:space="0" w:color="auto"/>
                <w:left w:val="none" w:sz="0" w:space="0" w:color="auto"/>
                <w:bottom w:val="none" w:sz="0" w:space="0" w:color="auto"/>
                <w:right w:val="none" w:sz="0" w:space="0" w:color="auto"/>
              </w:divBdr>
            </w:div>
            <w:div w:id="830608693">
              <w:marLeft w:val="0"/>
              <w:marRight w:val="0"/>
              <w:marTop w:val="450"/>
              <w:marBottom w:val="450"/>
              <w:divBdr>
                <w:top w:val="single" w:sz="6" w:space="8" w:color="DCDCDC"/>
                <w:left w:val="none" w:sz="0" w:space="0" w:color="auto"/>
                <w:bottom w:val="single" w:sz="6" w:space="0" w:color="DCDCD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叶春梅</dc:creator>
  <cp:keywords/>
  <dc:description/>
  <cp:lastModifiedBy>鲁鹃</cp:lastModifiedBy>
  <cp:revision>3</cp:revision>
  <cp:lastPrinted>2022-04-27T07:37:00Z</cp:lastPrinted>
  <dcterms:created xsi:type="dcterms:W3CDTF">2022-04-27T07:44:00Z</dcterms:created>
  <dcterms:modified xsi:type="dcterms:W3CDTF">2022-04-28T02:39:00Z</dcterms:modified>
</cp:coreProperties>
</file>