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8A2" w:rsidRPr="00AC0A4A" w:rsidRDefault="00CD58A2" w:rsidP="00CD58A2">
      <w:pPr>
        <w:rPr>
          <w:rFonts w:ascii="方正黑体_GBK" w:eastAsia="方正黑体_GBK"/>
          <w:sz w:val="32"/>
          <w:szCs w:val="32"/>
        </w:rPr>
      </w:pPr>
      <w:r w:rsidRPr="00AC0A4A">
        <w:rPr>
          <w:rFonts w:ascii="方正黑体_GBK" w:eastAsia="方正黑体_GBK" w:hint="eastAsia"/>
          <w:sz w:val="32"/>
          <w:szCs w:val="32"/>
        </w:rPr>
        <w:t>附件</w:t>
      </w:r>
    </w:p>
    <w:p w:rsidR="00CD58A2" w:rsidRPr="00101819" w:rsidRDefault="00CD58A2" w:rsidP="00AE3A37">
      <w:pPr>
        <w:adjustRightInd w:val="0"/>
        <w:snapToGrid w:val="0"/>
        <w:jc w:val="center"/>
        <w:rPr>
          <w:rFonts w:ascii="方正小标宋_GBK" w:eastAsia="方正小标宋_GBK"/>
          <w:sz w:val="44"/>
          <w:szCs w:val="44"/>
        </w:rPr>
      </w:pPr>
      <w:r w:rsidRPr="00101819">
        <w:rPr>
          <w:rFonts w:ascii="方正小标宋_GBK" w:eastAsia="方正小标宋_GBK"/>
          <w:sz w:val="44"/>
          <w:szCs w:val="44"/>
        </w:rPr>
        <w:t>国家知识产权局办公室关于全国知识产权贯标认证学习平台上线运行的通知</w:t>
      </w:r>
    </w:p>
    <w:p w:rsidR="00CD58A2" w:rsidRPr="00AE3A37" w:rsidRDefault="00CD58A2" w:rsidP="00CD58A2">
      <w:pPr>
        <w:rPr>
          <w:rFonts w:ascii="方正楷体_GBK" w:eastAsia="方正楷体_GBK"/>
          <w:sz w:val="32"/>
          <w:szCs w:val="32"/>
        </w:rPr>
      </w:pPr>
      <w:r>
        <w:rPr>
          <w:rFonts w:ascii="方正仿宋_GBK" w:eastAsia="方正仿宋_GBK" w:hint="eastAsia"/>
          <w:sz w:val="32"/>
          <w:szCs w:val="32"/>
        </w:rPr>
        <w:t xml:space="preserve">             </w:t>
      </w:r>
      <w:r w:rsidRPr="00AE3A37">
        <w:rPr>
          <w:rFonts w:ascii="方正楷体_GBK" w:eastAsia="方正楷体_GBK" w:hint="eastAsia"/>
          <w:sz w:val="32"/>
          <w:szCs w:val="32"/>
        </w:rPr>
        <w:t>国知办</w:t>
      </w:r>
      <w:proofErr w:type="gramStart"/>
      <w:r w:rsidRPr="00AE3A37">
        <w:rPr>
          <w:rFonts w:ascii="方正楷体_GBK" w:eastAsia="方正楷体_GBK" w:hint="eastAsia"/>
          <w:sz w:val="32"/>
          <w:szCs w:val="32"/>
        </w:rPr>
        <w:t>函运字</w:t>
      </w:r>
      <w:proofErr w:type="gramEnd"/>
      <w:r w:rsidRPr="00AE3A37">
        <w:rPr>
          <w:rFonts w:ascii="方正楷体_GBK" w:eastAsia="方正楷体_GBK" w:hint="eastAsia"/>
          <w:sz w:val="32"/>
          <w:szCs w:val="32"/>
        </w:rPr>
        <w:t>〔</w:t>
      </w:r>
      <w:r w:rsidRPr="00AE3A37">
        <w:rPr>
          <w:rFonts w:ascii="方正楷体_GBK" w:eastAsia="方正楷体_GBK"/>
          <w:sz w:val="32"/>
          <w:szCs w:val="32"/>
        </w:rPr>
        <w:t>2020〕359号</w:t>
      </w:r>
    </w:p>
    <w:p w:rsidR="00CD58A2" w:rsidRDefault="00CD58A2" w:rsidP="00CD58A2">
      <w:pPr>
        <w:rPr>
          <w:rFonts w:ascii="方正仿宋_GBK" w:eastAsia="方正仿宋_GBK"/>
          <w:sz w:val="32"/>
          <w:szCs w:val="32"/>
        </w:rPr>
      </w:pPr>
      <w:bookmarkStart w:id="0" w:name="_GoBack"/>
      <w:bookmarkEnd w:id="0"/>
    </w:p>
    <w:p w:rsidR="00CD58A2" w:rsidRPr="00101819" w:rsidRDefault="00CD58A2" w:rsidP="00CD58A2">
      <w:pPr>
        <w:rPr>
          <w:rFonts w:ascii="方正仿宋_GBK" w:eastAsia="方正仿宋_GBK"/>
          <w:sz w:val="32"/>
          <w:szCs w:val="32"/>
        </w:rPr>
      </w:pPr>
      <w:r w:rsidRPr="00101819">
        <w:rPr>
          <w:rFonts w:ascii="方正仿宋_GBK" w:eastAsia="方正仿宋_GBK" w:hint="eastAsia"/>
          <w:sz w:val="32"/>
          <w:szCs w:val="32"/>
        </w:rPr>
        <w:t>各省、自治区、直辖市及新疆生产建设兵团知识产权局（知识产权管理部门），四川省知识产权服务促进中心：</w:t>
      </w:r>
    </w:p>
    <w:p w:rsidR="00CD58A2" w:rsidRPr="00101819" w:rsidRDefault="00CD58A2" w:rsidP="00CD58A2">
      <w:pPr>
        <w:ind w:firstLineChars="200" w:firstLine="640"/>
        <w:rPr>
          <w:rFonts w:ascii="方正仿宋_GBK" w:eastAsia="方正仿宋_GBK"/>
          <w:sz w:val="32"/>
          <w:szCs w:val="32"/>
        </w:rPr>
      </w:pPr>
      <w:r w:rsidRPr="00101819">
        <w:rPr>
          <w:rFonts w:ascii="方正仿宋_GBK" w:eastAsia="方正仿宋_GBK" w:hint="eastAsia"/>
          <w:sz w:val="32"/>
          <w:szCs w:val="32"/>
        </w:rPr>
        <w:t>为进一步落实《关于规范知识产权管理体系贯标认证工作的通知》（国</w:t>
      </w:r>
      <w:proofErr w:type="gramStart"/>
      <w:r w:rsidRPr="00101819">
        <w:rPr>
          <w:rFonts w:ascii="方正仿宋_GBK" w:eastAsia="方正仿宋_GBK" w:hint="eastAsia"/>
          <w:sz w:val="32"/>
          <w:szCs w:val="32"/>
        </w:rPr>
        <w:t>知发管</w:t>
      </w:r>
      <w:proofErr w:type="gramEnd"/>
      <w:r w:rsidRPr="00101819">
        <w:rPr>
          <w:rFonts w:ascii="方正仿宋_GBK" w:eastAsia="方正仿宋_GBK" w:hint="eastAsia"/>
          <w:sz w:val="32"/>
          <w:szCs w:val="32"/>
        </w:rPr>
        <w:t>字〔2019〕34号），汇聚有效学习资源，规范培训学习渠道，助力知识产权贯标认证辅导咨询和培训服务转型升级，我局定于2020年5月15日正式上线全新的开放式知识产权贯标认证学习平台（以下简称“学习平台”）。现就有关事项通知如下。</w:t>
      </w:r>
    </w:p>
    <w:p w:rsidR="00CD58A2" w:rsidRPr="00101819" w:rsidRDefault="00CD58A2" w:rsidP="00CD58A2">
      <w:pPr>
        <w:ind w:firstLineChars="200" w:firstLine="640"/>
        <w:rPr>
          <w:rFonts w:ascii="方正黑体_GBK" w:eastAsia="方正黑体_GBK"/>
          <w:sz w:val="32"/>
          <w:szCs w:val="32"/>
        </w:rPr>
      </w:pPr>
      <w:r w:rsidRPr="00101819">
        <w:rPr>
          <w:rFonts w:ascii="方正黑体_GBK" w:eastAsia="方正黑体_GBK" w:hint="eastAsia"/>
          <w:bCs/>
          <w:sz w:val="32"/>
          <w:szCs w:val="32"/>
        </w:rPr>
        <w:t>一、基本情况</w:t>
      </w:r>
    </w:p>
    <w:p w:rsidR="00CD58A2" w:rsidRPr="00101819" w:rsidRDefault="00CD58A2" w:rsidP="00CD58A2">
      <w:pPr>
        <w:ind w:firstLineChars="200" w:firstLine="640"/>
        <w:rPr>
          <w:rFonts w:ascii="方正仿宋_GBK" w:eastAsia="方正仿宋_GBK"/>
          <w:sz w:val="32"/>
          <w:szCs w:val="32"/>
        </w:rPr>
      </w:pPr>
      <w:r w:rsidRPr="00101819">
        <w:rPr>
          <w:rFonts w:ascii="方正仿宋_GBK" w:eastAsia="方正仿宋_GBK" w:hint="eastAsia"/>
          <w:sz w:val="32"/>
          <w:szCs w:val="32"/>
        </w:rPr>
        <w:t>学习平台是贯彻落实党中央、国务院关于深化“放管服”改革、转变政府职能要求，由我局组织建设的全国性知识产权贯标认证工作综合服务载体，旨在满足各</w:t>
      </w:r>
      <w:proofErr w:type="gramStart"/>
      <w:r w:rsidRPr="00101819">
        <w:rPr>
          <w:rFonts w:ascii="方正仿宋_GBK" w:eastAsia="方正仿宋_GBK" w:hint="eastAsia"/>
          <w:sz w:val="32"/>
          <w:szCs w:val="32"/>
        </w:rPr>
        <w:t>类创新</w:t>
      </w:r>
      <w:proofErr w:type="gramEnd"/>
      <w:r w:rsidRPr="00101819">
        <w:rPr>
          <w:rFonts w:ascii="方正仿宋_GBK" w:eastAsia="方正仿宋_GBK" w:hint="eastAsia"/>
          <w:sz w:val="32"/>
          <w:szCs w:val="32"/>
        </w:rPr>
        <w:t>主体开展知识产权贯标认证工作日益增长的学习需求，提供精准化的学习方式。</w:t>
      </w:r>
    </w:p>
    <w:p w:rsidR="00CD58A2" w:rsidRPr="00101819" w:rsidRDefault="00CD58A2" w:rsidP="00CD58A2">
      <w:pPr>
        <w:ind w:firstLineChars="200" w:firstLine="640"/>
        <w:rPr>
          <w:rFonts w:ascii="方正仿宋_GBK" w:eastAsia="方正仿宋_GBK"/>
          <w:sz w:val="32"/>
          <w:szCs w:val="32"/>
        </w:rPr>
      </w:pPr>
      <w:r w:rsidRPr="00101819">
        <w:rPr>
          <w:rFonts w:ascii="方正仿宋_GBK" w:eastAsia="方正仿宋_GBK" w:hint="eastAsia"/>
          <w:sz w:val="32"/>
          <w:szCs w:val="32"/>
        </w:rPr>
        <w:t>学习平台面向企业、高等学校、科研组织等创新主体，以提供公益化、</w:t>
      </w:r>
      <w:proofErr w:type="gramStart"/>
      <w:r w:rsidRPr="00101819">
        <w:rPr>
          <w:rFonts w:ascii="方正仿宋_GBK" w:eastAsia="方正仿宋_GBK" w:hint="eastAsia"/>
          <w:sz w:val="32"/>
          <w:szCs w:val="32"/>
        </w:rPr>
        <w:t>便利化线上</w:t>
      </w:r>
      <w:proofErr w:type="gramEnd"/>
      <w:r w:rsidRPr="00101819">
        <w:rPr>
          <w:rFonts w:ascii="方正仿宋_GBK" w:eastAsia="方正仿宋_GBK" w:hint="eastAsia"/>
          <w:sz w:val="32"/>
          <w:szCs w:val="32"/>
        </w:rPr>
        <w:t>服务为主，开设在线学习测评、政策汇集</w:t>
      </w:r>
      <w:r w:rsidRPr="00101819">
        <w:rPr>
          <w:rFonts w:ascii="方正仿宋_GBK" w:eastAsia="方正仿宋_GBK" w:hint="eastAsia"/>
          <w:sz w:val="32"/>
          <w:szCs w:val="32"/>
        </w:rPr>
        <w:lastRenderedPageBreak/>
        <w:t>发布、典型样例分享、监督反馈投诉等功能模块，帮助各</w:t>
      </w:r>
      <w:proofErr w:type="gramStart"/>
      <w:r w:rsidRPr="00101819">
        <w:rPr>
          <w:rFonts w:ascii="方正仿宋_GBK" w:eastAsia="方正仿宋_GBK" w:hint="eastAsia"/>
          <w:sz w:val="32"/>
          <w:szCs w:val="32"/>
        </w:rPr>
        <w:t>类创新</w:t>
      </w:r>
      <w:proofErr w:type="gramEnd"/>
      <w:r w:rsidRPr="00101819">
        <w:rPr>
          <w:rFonts w:ascii="方正仿宋_GBK" w:eastAsia="方正仿宋_GBK" w:hint="eastAsia"/>
          <w:sz w:val="32"/>
          <w:szCs w:val="32"/>
        </w:rPr>
        <w:t>主体建立完善知识产权管理体系，打造“人人皆学、处处能学、时时可学”的知识产权贯标认证学习模式。平台支持PC端和手机端访问，平台网址为：http://www.ipmsstudy.cn，详情请登录查看使用说明。</w:t>
      </w:r>
    </w:p>
    <w:p w:rsidR="00CD58A2" w:rsidRPr="00101819" w:rsidRDefault="00CD58A2" w:rsidP="00CD58A2">
      <w:pPr>
        <w:rPr>
          <w:rFonts w:ascii="方正黑体_GBK" w:eastAsia="方正黑体_GBK"/>
          <w:sz w:val="32"/>
          <w:szCs w:val="32"/>
        </w:rPr>
      </w:pPr>
      <w:r>
        <w:rPr>
          <w:rFonts w:ascii="方正仿宋_GBK" w:eastAsia="方正仿宋_GBK" w:hint="eastAsia"/>
          <w:sz w:val="32"/>
          <w:szCs w:val="32"/>
        </w:rPr>
        <w:t xml:space="preserve">    </w:t>
      </w:r>
      <w:r>
        <w:rPr>
          <w:rFonts w:ascii="方正仿宋_GBK" w:eastAsia="方正仿宋_GBK"/>
          <w:sz w:val="32"/>
          <w:szCs w:val="32"/>
        </w:rPr>
        <w:t xml:space="preserve"> </w:t>
      </w:r>
      <w:r w:rsidRPr="00101819">
        <w:rPr>
          <w:rFonts w:ascii="方正黑体_GBK" w:eastAsia="方正黑体_GBK" w:hint="eastAsia"/>
          <w:bCs/>
          <w:sz w:val="32"/>
          <w:szCs w:val="32"/>
        </w:rPr>
        <w:t>二、主要服务功能</w:t>
      </w:r>
    </w:p>
    <w:p w:rsidR="00CD58A2" w:rsidRPr="00101819" w:rsidRDefault="00CD58A2" w:rsidP="00CD58A2">
      <w:pPr>
        <w:rPr>
          <w:rFonts w:ascii="方正仿宋_GBK" w:eastAsia="方正仿宋_GBK"/>
          <w:sz w:val="32"/>
          <w:szCs w:val="32"/>
        </w:rPr>
      </w:pPr>
      <w:r>
        <w:rPr>
          <w:rFonts w:ascii="方正仿宋_GBK" w:eastAsia="方正仿宋_GBK" w:hint="eastAsia"/>
          <w:sz w:val="32"/>
          <w:szCs w:val="32"/>
        </w:rPr>
        <w:t xml:space="preserve">    </w:t>
      </w:r>
      <w:r w:rsidRPr="00101819">
        <w:rPr>
          <w:rFonts w:ascii="方正仿宋_GBK" w:eastAsia="方正仿宋_GBK" w:hint="eastAsia"/>
          <w:sz w:val="32"/>
          <w:szCs w:val="32"/>
        </w:rPr>
        <w:t>（一）宣贯解读政策信息。开设政策信息专栏，汇集国家和地方知识产权贯标认证惠</w:t>
      </w:r>
      <w:proofErr w:type="gramStart"/>
      <w:r w:rsidRPr="00101819">
        <w:rPr>
          <w:rFonts w:ascii="方正仿宋_GBK" w:eastAsia="方正仿宋_GBK" w:hint="eastAsia"/>
          <w:sz w:val="32"/>
          <w:szCs w:val="32"/>
        </w:rPr>
        <w:t>企相关</w:t>
      </w:r>
      <w:proofErr w:type="gramEnd"/>
      <w:r w:rsidRPr="00101819">
        <w:rPr>
          <w:rFonts w:ascii="方正仿宋_GBK" w:eastAsia="方正仿宋_GBK" w:hint="eastAsia"/>
          <w:sz w:val="32"/>
          <w:szCs w:val="32"/>
        </w:rPr>
        <w:t>政策及解读，帮助创新主体用好相关政策，获得相关支持。</w:t>
      </w:r>
    </w:p>
    <w:p w:rsidR="00CD58A2" w:rsidRPr="00101819" w:rsidRDefault="00CD58A2" w:rsidP="00CD58A2">
      <w:pPr>
        <w:rPr>
          <w:rFonts w:ascii="方正仿宋_GBK" w:eastAsia="方正仿宋_GBK"/>
          <w:sz w:val="32"/>
          <w:szCs w:val="32"/>
        </w:rPr>
      </w:pPr>
      <w:r>
        <w:rPr>
          <w:rFonts w:ascii="方正仿宋_GBK" w:eastAsia="方正仿宋_GBK" w:hint="eastAsia"/>
          <w:sz w:val="32"/>
          <w:szCs w:val="32"/>
        </w:rPr>
        <w:t xml:space="preserve">    </w:t>
      </w:r>
      <w:r w:rsidRPr="00101819">
        <w:rPr>
          <w:rFonts w:ascii="方正仿宋_GBK" w:eastAsia="方正仿宋_GBK" w:hint="eastAsia"/>
          <w:sz w:val="32"/>
          <w:szCs w:val="32"/>
        </w:rPr>
        <w:t>（二）统一规范在线培训。开设学习测评专栏，科学设计贯标认证全流程学习课程，免费提供权威师资授课资源，在线检验巩固学习成效，实时提升相关人员从业技能。</w:t>
      </w:r>
    </w:p>
    <w:p w:rsidR="00CD58A2" w:rsidRPr="00101819" w:rsidRDefault="00CD58A2" w:rsidP="00CD58A2">
      <w:pPr>
        <w:rPr>
          <w:rFonts w:ascii="方正仿宋_GBK" w:eastAsia="方正仿宋_GBK"/>
          <w:sz w:val="32"/>
          <w:szCs w:val="32"/>
        </w:rPr>
      </w:pPr>
      <w:r>
        <w:rPr>
          <w:rFonts w:ascii="方正仿宋_GBK" w:eastAsia="方正仿宋_GBK" w:hint="eastAsia"/>
          <w:sz w:val="32"/>
          <w:szCs w:val="32"/>
        </w:rPr>
        <w:t xml:space="preserve">   </w:t>
      </w:r>
      <w:r w:rsidRPr="00101819">
        <w:rPr>
          <w:rFonts w:ascii="方正仿宋_GBK" w:eastAsia="方正仿宋_GBK" w:hint="eastAsia"/>
          <w:sz w:val="32"/>
          <w:szCs w:val="32"/>
        </w:rPr>
        <w:t>（三）分类共享实践样例。开设</w:t>
      </w:r>
      <w:proofErr w:type="gramStart"/>
      <w:r w:rsidRPr="00101819">
        <w:rPr>
          <w:rFonts w:ascii="方正仿宋_GBK" w:eastAsia="方正仿宋_GBK" w:hint="eastAsia"/>
          <w:sz w:val="32"/>
          <w:szCs w:val="32"/>
        </w:rPr>
        <w:t>贯</w:t>
      </w:r>
      <w:proofErr w:type="gramEnd"/>
      <w:r w:rsidRPr="00101819">
        <w:rPr>
          <w:rFonts w:ascii="方正仿宋_GBK" w:eastAsia="方正仿宋_GBK" w:hint="eastAsia"/>
          <w:sz w:val="32"/>
          <w:szCs w:val="32"/>
        </w:rPr>
        <w:t>标样例专栏，按领域和规模分类提供高质量贯</w:t>
      </w:r>
      <w:proofErr w:type="gramStart"/>
      <w:r w:rsidRPr="00101819">
        <w:rPr>
          <w:rFonts w:ascii="方正仿宋_GBK" w:eastAsia="方正仿宋_GBK" w:hint="eastAsia"/>
          <w:sz w:val="32"/>
          <w:szCs w:val="32"/>
        </w:rPr>
        <w:t>标实践样</w:t>
      </w:r>
      <w:proofErr w:type="gramEnd"/>
      <w:r w:rsidRPr="00101819">
        <w:rPr>
          <w:rFonts w:ascii="方正仿宋_GBK" w:eastAsia="方正仿宋_GBK" w:hint="eastAsia"/>
          <w:sz w:val="32"/>
          <w:szCs w:val="32"/>
        </w:rPr>
        <w:t>例，帮助创新主体量</w:t>
      </w:r>
      <w:proofErr w:type="gramStart"/>
      <w:r w:rsidRPr="00101819">
        <w:rPr>
          <w:rFonts w:ascii="方正仿宋_GBK" w:eastAsia="方正仿宋_GBK" w:hint="eastAsia"/>
          <w:sz w:val="32"/>
          <w:szCs w:val="32"/>
        </w:rPr>
        <w:t>身建立</w:t>
      </w:r>
      <w:proofErr w:type="gramEnd"/>
      <w:r w:rsidRPr="00101819">
        <w:rPr>
          <w:rFonts w:ascii="方正仿宋_GBK" w:eastAsia="方正仿宋_GBK" w:hint="eastAsia"/>
          <w:sz w:val="32"/>
          <w:szCs w:val="32"/>
        </w:rPr>
        <w:t>知识产权管理体系并高质量运行。</w:t>
      </w:r>
    </w:p>
    <w:p w:rsidR="00CD58A2" w:rsidRPr="00101819" w:rsidRDefault="00CD58A2" w:rsidP="00CD58A2">
      <w:pPr>
        <w:rPr>
          <w:rFonts w:ascii="方正仿宋_GBK" w:eastAsia="方正仿宋_GBK"/>
          <w:sz w:val="32"/>
          <w:szCs w:val="32"/>
        </w:rPr>
      </w:pPr>
      <w:r>
        <w:rPr>
          <w:rFonts w:ascii="方正仿宋_GBK" w:eastAsia="方正仿宋_GBK" w:hint="eastAsia"/>
          <w:sz w:val="32"/>
          <w:szCs w:val="32"/>
        </w:rPr>
        <w:t xml:space="preserve">    </w:t>
      </w:r>
      <w:r w:rsidRPr="00101819">
        <w:rPr>
          <w:rFonts w:ascii="方正仿宋_GBK" w:eastAsia="方正仿宋_GBK" w:hint="eastAsia"/>
          <w:sz w:val="32"/>
          <w:szCs w:val="32"/>
        </w:rPr>
        <w:t>（四）公示监督认证服务。开设认证服务专栏，公示知识产权认证机构服务标准，支持创新主体择优选择认证服务，线上评估反馈服务质量，促进服务标准持续提升。</w:t>
      </w:r>
    </w:p>
    <w:p w:rsidR="00CD58A2" w:rsidRPr="00FD6FC0" w:rsidRDefault="00CD58A2" w:rsidP="00CD58A2">
      <w:pPr>
        <w:ind w:firstLineChars="200" w:firstLine="640"/>
        <w:rPr>
          <w:rFonts w:ascii="方正黑体_GBK" w:eastAsia="方正黑体_GBK"/>
          <w:sz w:val="32"/>
          <w:szCs w:val="32"/>
        </w:rPr>
      </w:pPr>
      <w:r w:rsidRPr="00AE3A37">
        <w:rPr>
          <w:rFonts w:ascii="方正黑体_GBK" w:eastAsia="方正黑体_GBK" w:hint="eastAsia"/>
          <w:bCs/>
          <w:sz w:val="32"/>
          <w:szCs w:val="32"/>
        </w:rPr>
        <w:t>三、工作要求</w:t>
      </w:r>
    </w:p>
    <w:p w:rsidR="00CD58A2" w:rsidRPr="00101819" w:rsidRDefault="00CD58A2" w:rsidP="00CD58A2">
      <w:pPr>
        <w:ind w:firstLineChars="200" w:firstLine="640"/>
        <w:rPr>
          <w:rFonts w:ascii="方正仿宋_GBK" w:eastAsia="方正仿宋_GBK"/>
          <w:sz w:val="32"/>
          <w:szCs w:val="32"/>
        </w:rPr>
      </w:pPr>
      <w:r w:rsidRPr="00101819">
        <w:rPr>
          <w:rFonts w:ascii="方正仿宋_GBK" w:eastAsia="方正仿宋_GBK" w:hint="eastAsia"/>
          <w:sz w:val="32"/>
          <w:szCs w:val="32"/>
        </w:rPr>
        <w:t>（一）加大宣传推广力度。要高度重视发挥平台作用，将学</w:t>
      </w:r>
      <w:r w:rsidRPr="00101819">
        <w:rPr>
          <w:rFonts w:ascii="方正仿宋_GBK" w:eastAsia="方正仿宋_GBK" w:hint="eastAsia"/>
          <w:sz w:val="32"/>
          <w:szCs w:val="32"/>
        </w:rPr>
        <w:lastRenderedPageBreak/>
        <w:t>习平台作为服务创新主体的重要抓手，结合实际组织</w:t>
      </w:r>
      <w:proofErr w:type="gramStart"/>
      <w:r w:rsidRPr="00101819">
        <w:rPr>
          <w:rFonts w:ascii="方正仿宋_GBK" w:eastAsia="方正仿宋_GBK" w:hint="eastAsia"/>
          <w:sz w:val="32"/>
          <w:szCs w:val="32"/>
        </w:rPr>
        <w:t>动员省</w:t>
      </w:r>
      <w:proofErr w:type="gramEnd"/>
      <w:r w:rsidRPr="00101819">
        <w:rPr>
          <w:rFonts w:ascii="方正仿宋_GBK" w:eastAsia="方正仿宋_GBK" w:hint="eastAsia"/>
          <w:sz w:val="32"/>
          <w:szCs w:val="32"/>
        </w:rPr>
        <w:t>市县各级辖区内的企业、高校和科研组织使用好学习平台，及时反馈意见建议，切实解决创新主体实际困难，全力支持复工复产。我局将通过学习平台后台管理功能及时汇总通报各地使用情况。</w:t>
      </w:r>
    </w:p>
    <w:p w:rsidR="00CD58A2" w:rsidRPr="00101819" w:rsidRDefault="00CD58A2" w:rsidP="00CD58A2">
      <w:pPr>
        <w:rPr>
          <w:rFonts w:ascii="方正仿宋_GBK" w:eastAsia="方正仿宋_GBK"/>
          <w:sz w:val="32"/>
          <w:szCs w:val="32"/>
        </w:rPr>
      </w:pPr>
      <w:r>
        <w:rPr>
          <w:rFonts w:ascii="方正仿宋_GBK" w:eastAsia="方正仿宋_GBK" w:hint="eastAsia"/>
          <w:sz w:val="32"/>
          <w:szCs w:val="32"/>
        </w:rPr>
        <w:t xml:space="preserve">   </w:t>
      </w:r>
      <w:r w:rsidRPr="00101819">
        <w:rPr>
          <w:rFonts w:ascii="方正仿宋_GBK" w:eastAsia="方正仿宋_GBK" w:hint="eastAsia"/>
          <w:sz w:val="32"/>
          <w:szCs w:val="32"/>
        </w:rPr>
        <w:t>（二）加强数据使用管理。要依托学习平台后台管理端口，综合管理使用好后台数据信息，跟踪了解创新主体学习情况和内在需求，对知识产权产出质量、运用效益、保护水平等方面取得的成效进行关联分析，靶向精准服务创新主体，提高知识产权管理体系贯标认证有效性。</w:t>
      </w:r>
    </w:p>
    <w:p w:rsidR="00CD58A2" w:rsidRPr="00101819" w:rsidRDefault="00CD58A2" w:rsidP="00CD58A2">
      <w:pPr>
        <w:rPr>
          <w:rFonts w:ascii="方正仿宋_GBK" w:eastAsia="方正仿宋_GBK"/>
          <w:sz w:val="32"/>
          <w:szCs w:val="32"/>
        </w:rPr>
      </w:pPr>
      <w:r>
        <w:rPr>
          <w:rFonts w:ascii="方正仿宋_GBK" w:eastAsia="方正仿宋_GBK" w:hint="eastAsia"/>
          <w:sz w:val="32"/>
          <w:szCs w:val="32"/>
        </w:rPr>
        <w:t xml:space="preserve">   </w:t>
      </w:r>
      <w:r w:rsidRPr="00101819">
        <w:rPr>
          <w:rFonts w:ascii="方正仿宋_GBK" w:eastAsia="方正仿宋_GBK" w:hint="eastAsia"/>
          <w:sz w:val="32"/>
          <w:szCs w:val="32"/>
        </w:rPr>
        <w:t>（三）持续完善政策体系。请按照关于规范知识产权管理体系贯标认证工作的通知精神及时与我局联系，在学习平台上补充、更新辖区内知识产权贯标认证相关政策，进一步完善学习平台知识产权贯标认证政策库，为创新主体提供更加全面高效便捷服务。</w:t>
      </w:r>
    </w:p>
    <w:p w:rsidR="00CD58A2" w:rsidRPr="00101819" w:rsidRDefault="00CD58A2" w:rsidP="00CD58A2">
      <w:pPr>
        <w:ind w:firstLineChars="200" w:firstLine="640"/>
        <w:rPr>
          <w:rFonts w:ascii="方正仿宋_GBK" w:eastAsia="方正仿宋_GBK"/>
          <w:sz w:val="32"/>
          <w:szCs w:val="32"/>
        </w:rPr>
      </w:pPr>
      <w:r w:rsidRPr="00101819">
        <w:rPr>
          <w:rFonts w:ascii="方正仿宋_GBK" w:eastAsia="方正仿宋_GBK" w:hint="eastAsia"/>
          <w:sz w:val="32"/>
          <w:szCs w:val="32"/>
        </w:rPr>
        <w:t>特此通知。</w:t>
      </w:r>
    </w:p>
    <w:p w:rsidR="00CD58A2" w:rsidRPr="00101819" w:rsidRDefault="00CD58A2" w:rsidP="00CD58A2">
      <w:pPr>
        <w:ind w:firstLineChars="200" w:firstLine="640"/>
        <w:rPr>
          <w:rFonts w:ascii="方正仿宋_GBK" w:eastAsia="方正仿宋_GBK"/>
          <w:sz w:val="32"/>
          <w:szCs w:val="32"/>
        </w:rPr>
      </w:pPr>
      <w:r w:rsidRPr="00101819">
        <w:rPr>
          <w:rFonts w:ascii="方正仿宋_GBK" w:eastAsia="方正仿宋_GBK" w:hint="eastAsia"/>
          <w:sz w:val="32"/>
          <w:szCs w:val="32"/>
        </w:rPr>
        <w:t xml:space="preserve">　　</w:t>
      </w:r>
    </w:p>
    <w:p w:rsidR="00CD58A2" w:rsidRPr="00101819" w:rsidRDefault="00CD58A2" w:rsidP="00CD58A2">
      <w:pPr>
        <w:ind w:firstLineChars="200" w:firstLine="640"/>
        <w:rPr>
          <w:rFonts w:ascii="方正仿宋_GBK" w:eastAsia="方正仿宋_GBK"/>
          <w:sz w:val="32"/>
          <w:szCs w:val="32"/>
        </w:rPr>
      </w:pPr>
      <w:r>
        <w:rPr>
          <w:rFonts w:ascii="方正仿宋_GBK" w:eastAsia="方正仿宋_GBK" w:hint="eastAsia"/>
          <w:sz w:val="32"/>
          <w:szCs w:val="32"/>
        </w:rPr>
        <w:t xml:space="preserve">                  </w:t>
      </w:r>
      <w:r>
        <w:rPr>
          <w:rFonts w:ascii="方正仿宋_GBK" w:eastAsia="方正仿宋_GBK"/>
          <w:sz w:val="32"/>
          <w:szCs w:val="32"/>
        </w:rPr>
        <w:t xml:space="preserve">    </w:t>
      </w:r>
      <w:r>
        <w:rPr>
          <w:rFonts w:ascii="方正仿宋_GBK" w:eastAsia="方正仿宋_GBK" w:hint="eastAsia"/>
          <w:sz w:val="32"/>
          <w:szCs w:val="32"/>
        </w:rPr>
        <w:t xml:space="preserve"> </w:t>
      </w:r>
      <w:r>
        <w:rPr>
          <w:rFonts w:ascii="方正仿宋_GBK" w:eastAsia="方正仿宋_GBK"/>
          <w:sz w:val="32"/>
          <w:szCs w:val="32"/>
        </w:rPr>
        <w:t xml:space="preserve"> </w:t>
      </w:r>
      <w:r w:rsidRPr="00101819">
        <w:rPr>
          <w:rFonts w:ascii="方正仿宋_GBK" w:eastAsia="方正仿宋_GBK" w:hint="eastAsia"/>
          <w:sz w:val="32"/>
          <w:szCs w:val="32"/>
        </w:rPr>
        <w:t>国家知识产权局办公室</w:t>
      </w:r>
    </w:p>
    <w:p w:rsidR="00CD58A2" w:rsidRDefault="00CD58A2" w:rsidP="00AE3A37">
      <w:pPr>
        <w:ind w:firstLineChars="450" w:firstLine="1440"/>
        <w:rPr>
          <w:rFonts w:ascii="方正仿宋_GBK" w:eastAsia="方正仿宋_GBK"/>
          <w:sz w:val="32"/>
          <w:szCs w:val="32"/>
        </w:rPr>
      </w:pPr>
      <w:r>
        <w:rPr>
          <w:rFonts w:ascii="方正仿宋_GBK" w:eastAsia="方正仿宋_GBK" w:hint="eastAsia"/>
          <w:sz w:val="32"/>
          <w:szCs w:val="32"/>
        </w:rPr>
        <w:t xml:space="preserve">               </w:t>
      </w:r>
      <w:r>
        <w:rPr>
          <w:rFonts w:ascii="方正仿宋_GBK" w:eastAsia="方正仿宋_GBK"/>
          <w:sz w:val="32"/>
          <w:szCs w:val="32"/>
        </w:rPr>
        <w:t xml:space="preserve"> </w:t>
      </w:r>
      <w:r>
        <w:rPr>
          <w:rFonts w:ascii="方正仿宋_GBK" w:eastAsia="方正仿宋_GBK" w:hint="eastAsia"/>
          <w:sz w:val="32"/>
          <w:szCs w:val="32"/>
        </w:rPr>
        <w:t xml:space="preserve">     </w:t>
      </w:r>
      <w:r w:rsidRPr="00101819">
        <w:rPr>
          <w:rFonts w:ascii="方正仿宋_GBK" w:eastAsia="方正仿宋_GBK" w:hint="eastAsia"/>
          <w:sz w:val="32"/>
          <w:szCs w:val="32"/>
        </w:rPr>
        <w:t>2020年5月12日</w:t>
      </w:r>
    </w:p>
    <w:p w:rsidR="00CD58A2" w:rsidRPr="00101819" w:rsidRDefault="00CD58A2" w:rsidP="00AE3A37">
      <w:pPr>
        <w:snapToGrid w:val="0"/>
        <w:ind w:firstLineChars="200" w:firstLine="640"/>
        <w:rPr>
          <w:rFonts w:ascii="方正仿宋_GBK" w:eastAsia="方正仿宋_GBK"/>
          <w:sz w:val="32"/>
          <w:szCs w:val="32"/>
        </w:rPr>
      </w:pPr>
    </w:p>
    <w:p w:rsidR="00CD58A2" w:rsidRDefault="00CD58A2" w:rsidP="00AE3A37">
      <w:pPr>
        <w:snapToGrid w:val="0"/>
        <w:rPr>
          <w:rFonts w:ascii="Times New Roman" w:eastAsia="方正仿宋_GBK" w:hAnsi="Times New Roman"/>
          <w:sz w:val="32"/>
          <w:szCs w:val="32"/>
        </w:rPr>
      </w:pPr>
    </w:p>
    <w:p w:rsidR="00CD58A2" w:rsidRPr="00CD58A2" w:rsidRDefault="00CD58A2" w:rsidP="00CD58A2">
      <w:pPr>
        <w:rPr>
          <w:rFonts w:ascii="方正黑体_GBK" w:eastAsia="方正黑体_GBK"/>
          <w:sz w:val="36"/>
          <w:szCs w:val="36"/>
        </w:rPr>
        <w:sectPr w:rsidR="00CD58A2" w:rsidRPr="00CD58A2" w:rsidSect="00CD58A2">
          <w:footerReference w:type="even" r:id="rId6"/>
          <w:footerReference w:type="default" r:id="rId7"/>
          <w:pgSz w:w="11906" w:h="16838"/>
          <w:pgMar w:top="2098" w:right="1531" w:bottom="1985" w:left="1531" w:header="851" w:footer="992" w:gutter="0"/>
          <w:cols w:space="425"/>
          <w:docGrid w:type="lines" w:linePitch="312"/>
        </w:sectPr>
      </w:pPr>
    </w:p>
    <w:p w:rsidR="00101819" w:rsidRPr="00AE3A37" w:rsidRDefault="00101819" w:rsidP="00AE3A37"/>
    <w:sectPr w:rsidR="00101819" w:rsidRPr="00AE3A37" w:rsidSect="00AE3A37">
      <w:footerReference w:type="even" r:id="rId8"/>
      <w:footerReference w:type="default" r:id="rId9"/>
      <w:pgSz w:w="11906" w:h="16838"/>
      <w:pgMar w:top="2098" w:right="1531" w:bottom="1985" w:left="1531"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330" w:rsidRDefault="00665330" w:rsidP="00737459">
      <w:r>
        <w:separator/>
      </w:r>
    </w:p>
  </w:endnote>
  <w:endnote w:type="continuationSeparator" w:id="0">
    <w:p w:rsidR="00665330" w:rsidRDefault="00665330" w:rsidP="0073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Microsoft YaHei UI">
    <w:charset w:val="86"/>
    <w:family w:val="swiss"/>
    <w:pitch w:val="variable"/>
    <w:sig w:usb0="80000287" w:usb1="28CF3C52" w:usb2="00000016" w:usb3="00000000" w:csb0="0004001F" w:csb1="00000000"/>
  </w:font>
  <w:font w:name="方正黑体_GBK">
    <w:altName w:val="等线"/>
    <w:charset w:val="86"/>
    <w:family w:val="script"/>
    <w:pitch w:val="fixed"/>
    <w:sig w:usb0="00000000" w:usb1="080E0000" w:usb2="00000010" w:usb3="00000000" w:csb0="00040000" w:csb1="00000000"/>
  </w:font>
  <w:font w:name="方正小标宋_GBK">
    <w:altName w:val="等线"/>
    <w:charset w:val="86"/>
    <w:family w:val="script"/>
    <w:pitch w:val="fixed"/>
    <w:sig w:usb0="00000000" w:usb1="080E0000" w:usb2="00000010" w:usb3="00000000" w:csb0="00040000" w:csb1="00000000"/>
  </w:font>
  <w:font w:name="方正仿宋_GBK">
    <w:altName w:val="等线"/>
    <w:charset w:val="86"/>
    <w:family w:val="script"/>
    <w:pitch w:val="fixed"/>
    <w:sig w:usb0="00000000" w:usb1="080E0000" w:usb2="00000010" w:usb3="00000000" w:csb0="00040000" w:csb1="00000000"/>
  </w:font>
  <w:font w:name="方正楷体_GBK">
    <w:altName w:val="等线"/>
    <w:charset w:val="86"/>
    <w:family w:val="script"/>
    <w:pitch w:val="fixed"/>
    <w:sig w:usb0="00000000" w:usb1="080E0000" w:usb2="0000001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A2" w:rsidRDefault="00CD58A2">
    <w:pPr>
      <w:pStyle w:val="a5"/>
    </w:pPr>
    <w:r w:rsidRPr="00E21300">
      <w:rPr>
        <w:rFonts w:ascii="方正仿宋_GBK" w:eastAsia="方正仿宋_GBK" w:hint="eastAsia"/>
        <w:sz w:val="28"/>
        <w:szCs w:val="22"/>
      </w:rPr>
      <w:t>―</w:t>
    </w:r>
    <w:r w:rsidRPr="00E21300">
      <w:rPr>
        <w:rFonts w:ascii="方正仿宋_GBK" w:eastAsia="方正仿宋_GBK" w:hint="eastAsia"/>
        <w:kern w:val="0"/>
        <w:sz w:val="28"/>
        <w:szCs w:val="22"/>
      </w:rPr>
      <w:t xml:space="preserve"> </w:t>
    </w:r>
    <w:r w:rsidRPr="00E21300">
      <w:rPr>
        <w:rFonts w:ascii="方正仿宋_GBK" w:eastAsia="方正仿宋_GBK" w:hAnsi="Times New Roman" w:hint="eastAsia"/>
        <w:kern w:val="0"/>
        <w:sz w:val="28"/>
        <w:szCs w:val="22"/>
      </w:rPr>
      <w:fldChar w:fldCharType="begin"/>
    </w:r>
    <w:r w:rsidRPr="00E21300">
      <w:rPr>
        <w:rFonts w:ascii="方正仿宋_GBK" w:eastAsia="方正仿宋_GBK" w:hAnsi="Times New Roman" w:hint="eastAsia"/>
        <w:kern w:val="0"/>
        <w:sz w:val="28"/>
        <w:szCs w:val="22"/>
      </w:rPr>
      <w:instrText xml:space="preserve"> PAGE </w:instrText>
    </w:r>
    <w:r w:rsidRPr="00E21300">
      <w:rPr>
        <w:rFonts w:ascii="方正仿宋_GBK" w:eastAsia="方正仿宋_GBK" w:hAnsi="Times New Roman" w:hint="eastAsia"/>
        <w:kern w:val="0"/>
        <w:sz w:val="28"/>
        <w:szCs w:val="22"/>
      </w:rPr>
      <w:fldChar w:fldCharType="separate"/>
    </w:r>
    <w:r w:rsidR="00AC0A4A">
      <w:rPr>
        <w:rFonts w:ascii="方正仿宋_GBK" w:eastAsia="方正仿宋_GBK" w:hAnsi="Times New Roman"/>
        <w:noProof/>
        <w:kern w:val="0"/>
        <w:sz w:val="28"/>
        <w:szCs w:val="22"/>
      </w:rPr>
      <w:t>2</w:t>
    </w:r>
    <w:r w:rsidRPr="00E21300">
      <w:rPr>
        <w:rFonts w:ascii="方正仿宋_GBK" w:eastAsia="方正仿宋_GBK" w:hAnsi="Times New Roman" w:hint="eastAsia"/>
        <w:kern w:val="0"/>
        <w:sz w:val="28"/>
        <w:szCs w:val="22"/>
      </w:rPr>
      <w:fldChar w:fldCharType="end"/>
    </w:r>
    <w:r w:rsidRPr="00E21300">
      <w:rPr>
        <w:rFonts w:ascii="方正仿宋_GBK" w:eastAsia="方正仿宋_GBK" w:hint="eastAsia"/>
        <w:kern w:val="0"/>
        <w:sz w:val="28"/>
        <w:szCs w:val="22"/>
      </w:rPr>
      <w:t xml:space="preserve"> </w:t>
    </w:r>
    <w:r w:rsidRPr="00E21300">
      <w:rPr>
        <w:rFonts w:ascii="方正仿宋_GBK" w:eastAsia="方正仿宋_GBK" w:hint="eastAsia"/>
        <w:sz w:val="28"/>
        <w:szCs w:val="22"/>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A2" w:rsidRDefault="00CD58A2" w:rsidP="00AC0A4A">
    <w:pPr>
      <w:pStyle w:val="a5"/>
      <w:wordWrap w:val="0"/>
      <w:jc w:val="right"/>
    </w:pPr>
    <w:r w:rsidRPr="00E21300">
      <w:rPr>
        <w:rFonts w:ascii="方正仿宋_GBK" w:eastAsia="方正仿宋_GBK" w:hint="eastAsia"/>
        <w:sz w:val="28"/>
        <w:szCs w:val="22"/>
      </w:rPr>
      <w:t>―</w:t>
    </w:r>
    <w:r w:rsidRPr="00E21300">
      <w:rPr>
        <w:rFonts w:ascii="方正仿宋_GBK" w:eastAsia="方正仿宋_GBK" w:hint="eastAsia"/>
        <w:kern w:val="0"/>
        <w:sz w:val="28"/>
        <w:szCs w:val="22"/>
      </w:rPr>
      <w:t xml:space="preserve"> </w:t>
    </w:r>
    <w:r w:rsidRPr="00E21300">
      <w:rPr>
        <w:rFonts w:ascii="方正仿宋_GBK" w:eastAsia="方正仿宋_GBK" w:hAnsi="Times New Roman" w:hint="eastAsia"/>
        <w:kern w:val="0"/>
        <w:sz w:val="28"/>
      </w:rPr>
      <w:fldChar w:fldCharType="begin"/>
    </w:r>
    <w:r w:rsidRPr="00E21300">
      <w:rPr>
        <w:rFonts w:ascii="方正仿宋_GBK" w:eastAsia="方正仿宋_GBK" w:hAnsi="Times New Roman" w:hint="eastAsia"/>
        <w:kern w:val="0"/>
        <w:sz w:val="28"/>
        <w:szCs w:val="22"/>
      </w:rPr>
      <w:instrText xml:space="preserve"> PAGE </w:instrText>
    </w:r>
    <w:r w:rsidRPr="00E21300">
      <w:rPr>
        <w:rFonts w:ascii="方正仿宋_GBK" w:eastAsia="方正仿宋_GBK" w:hAnsi="Times New Roman" w:hint="eastAsia"/>
        <w:kern w:val="0"/>
        <w:sz w:val="28"/>
      </w:rPr>
      <w:fldChar w:fldCharType="separate"/>
    </w:r>
    <w:r w:rsidR="00AC0A4A">
      <w:rPr>
        <w:rFonts w:ascii="方正仿宋_GBK" w:eastAsia="方正仿宋_GBK" w:hAnsi="Times New Roman"/>
        <w:noProof/>
        <w:kern w:val="0"/>
        <w:sz w:val="28"/>
        <w:szCs w:val="22"/>
      </w:rPr>
      <w:t>1</w:t>
    </w:r>
    <w:r w:rsidRPr="00E21300">
      <w:rPr>
        <w:rFonts w:ascii="方正仿宋_GBK" w:eastAsia="方正仿宋_GBK" w:hAnsi="Times New Roman" w:hint="eastAsia"/>
        <w:kern w:val="0"/>
        <w:sz w:val="28"/>
      </w:rPr>
      <w:fldChar w:fldCharType="end"/>
    </w:r>
    <w:r w:rsidRPr="00E21300">
      <w:rPr>
        <w:rFonts w:ascii="方正仿宋_GBK" w:eastAsia="方正仿宋_GBK" w:hint="eastAsia"/>
        <w:kern w:val="0"/>
        <w:sz w:val="28"/>
        <w:szCs w:val="22"/>
      </w:rPr>
      <w:t xml:space="preserve"> </w:t>
    </w:r>
    <w:r w:rsidRPr="00E21300">
      <w:rPr>
        <w:rFonts w:ascii="方正仿宋_GBK" w:eastAsia="方正仿宋_GBK" w:hint="eastAsia"/>
        <w:sz w:val="28"/>
        <w:szCs w:val="22"/>
      </w:rPr>
      <w:t>―</w:t>
    </w:r>
    <w:r>
      <w:rPr>
        <w:rFonts w:ascii="方正仿宋_GBK" w:eastAsia="方正仿宋_GBK" w:hint="eastAsia"/>
        <w:sz w:val="28"/>
        <w:szCs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D13" w:rsidRDefault="00730D13">
    <w:pPr>
      <w:pStyle w:val="a5"/>
    </w:pPr>
    <w:r w:rsidRPr="00E21300">
      <w:rPr>
        <w:rFonts w:ascii="方正仿宋_GBK" w:eastAsia="方正仿宋_GBK" w:hint="eastAsia"/>
        <w:sz w:val="28"/>
        <w:szCs w:val="22"/>
      </w:rPr>
      <w:t>―</w:t>
    </w:r>
    <w:r w:rsidRPr="00E21300">
      <w:rPr>
        <w:rFonts w:ascii="方正仿宋_GBK" w:eastAsia="方正仿宋_GBK" w:hint="eastAsia"/>
        <w:kern w:val="0"/>
        <w:sz w:val="28"/>
        <w:szCs w:val="22"/>
      </w:rPr>
      <w:t xml:space="preserve"> </w:t>
    </w:r>
    <w:r w:rsidRPr="00E21300">
      <w:rPr>
        <w:rFonts w:ascii="方正仿宋_GBK" w:eastAsia="方正仿宋_GBK" w:hAnsi="Times New Roman" w:hint="eastAsia"/>
        <w:kern w:val="0"/>
        <w:sz w:val="28"/>
        <w:szCs w:val="22"/>
      </w:rPr>
      <w:fldChar w:fldCharType="begin"/>
    </w:r>
    <w:r w:rsidRPr="00E21300">
      <w:rPr>
        <w:rFonts w:ascii="方正仿宋_GBK" w:eastAsia="方正仿宋_GBK" w:hAnsi="Times New Roman" w:hint="eastAsia"/>
        <w:kern w:val="0"/>
        <w:sz w:val="28"/>
        <w:szCs w:val="22"/>
      </w:rPr>
      <w:instrText xml:space="preserve"> PAGE </w:instrText>
    </w:r>
    <w:r w:rsidRPr="00E21300">
      <w:rPr>
        <w:rFonts w:ascii="方正仿宋_GBK" w:eastAsia="方正仿宋_GBK" w:hAnsi="Times New Roman" w:hint="eastAsia"/>
        <w:kern w:val="0"/>
        <w:sz w:val="28"/>
        <w:szCs w:val="22"/>
      </w:rPr>
      <w:fldChar w:fldCharType="separate"/>
    </w:r>
    <w:r w:rsidR="00CD58A2">
      <w:rPr>
        <w:rFonts w:ascii="方正仿宋_GBK" w:eastAsia="方正仿宋_GBK" w:hAnsi="Times New Roman"/>
        <w:noProof/>
        <w:kern w:val="0"/>
        <w:sz w:val="28"/>
        <w:szCs w:val="22"/>
      </w:rPr>
      <w:t>4</w:t>
    </w:r>
    <w:r w:rsidRPr="00E21300">
      <w:rPr>
        <w:rFonts w:ascii="方正仿宋_GBK" w:eastAsia="方正仿宋_GBK" w:hAnsi="Times New Roman" w:hint="eastAsia"/>
        <w:kern w:val="0"/>
        <w:sz w:val="28"/>
        <w:szCs w:val="22"/>
      </w:rPr>
      <w:fldChar w:fldCharType="end"/>
    </w:r>
    <w:r w:rsidRPr="00E21300">
      <w:rPr>
        <w:rFonts w:ascii="方正仿宋_GBK" w:eastAsia="方正仿宋_GBK" w:hint="eastAsia"/>
        <w:kern w:val="0"/>
        <w:sz w:val="28"/>
        <w:szCs w:val="22"/>
      </w:rPr>
      <w:t xml:space="preserve"> </w:t>
    </w:r>
    <w:r w:rsidRPr="00E21300">
      <w:rPr>
        <w:rFonts w:ascii="方正仿宋_GBK" w:eastAsia="方正仿宋_GBK" w:hint="eastAsia"/>
        <w:sz w:val="28"/>
        <w:szCs w:val="22"/>
      </w:rPr>
      <w:t>―</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8F6" w:rsidRDefault="00730D13" w:rsidP="00AC0A4A">
    <w:pPr>
      <w:pStyle w:val="a5"/>
      <w:wordWrap w:val="0"/>
      <w:jc w:val="right"/>
    </w:pPr>
    <w:r w:rsidRPr="00E21300">
      <w:rPr>
        <w:rFonts w:ascii="方正仿宋_GBK" w:eastAsia="方正仿宋_GBK" w:hint="eastAsia"/>
        <w:sz w:val="28"/>
        <w:szCs w:val="22"/>
      </w:rPr>
      <w:t>―</w:t>
    </w:r>
    <w:r w:rsidRPr="00E21300">
      <w:rPr>
        <w:rFonts w:ascii="方正仿宋_GBK" w:eastAsia="方正仿宋_GBK" w:hint="eastAsia"/>
        <w:kern w:val="0"/>
        <w:sz w:val="28"/>
        <w:szCs w:val="22"/>
      </w:rPr>
      <w:t xml:space="preserve"> </w:t>
    </w:r>
    <w:r w:rsidRPr="00E21300">
      <w:rPr>
        <w:rFonts w:ascii="方正仿宋_GBK" w:eastAsia="方正仿宋_GBK" w:hAnsi="Times New Roman" w:hint="eastAsia"/>
        <w:kern w:val="0"/>
        <w:sz w:val="28"/>
      </w:rPr>
      <w:fldChar w:fldCharType="begin"/>
    </w:r>
    <w:r w:rsidRPr="00E21300">
      <w:rPr>
        <w:rFonts w:ascii="方正仿宋_GBK" w:eastAsia="方正仿宋_GBK" w:hAnsi="Times New Roman" w:hint="eastAsia"/>
        <w:kern w:val="0"/>
        <w:sz w:val="28"/>
        <w:szCs w:val="22"/>
      </w:rPr>
      <w:instrText xml:space="preserve"> PAGE </w:instrText>
    </w:r>
    <w:r w:rsidRPr="00E21300">
      <w:rPr>
        <w:rFonts w:ascii="方正仿宋_GBK" w:eastAsia="方正仿宋_GBK" w:hAnsi="Times New Roman" w:hint="eastAsia"/>
        <w:kern w:val="0"/>
        <w:sz w:val="28"/>
      </w:rPr>
      <w:fldChar w:fldCharType="separate"/>
    </w:r>
    <w:r w:rsidR="00CD58A2">
      <w:rPr>
        <w:rFonts w:ascii="方正仿宋_GBK" w:eastAsia="方正仿宋_GBK" w:hAnsi="Times New Roman"/>
        <w:noProof/>
        <w:kern w:val="0"/>
        <w:sz w:val="28"/>
        <w:szCs w:val="22"/>
      </w:rPr>
      <w:t>3</w:t>
    </w:r>
    <w:r w:rsidRPr="00E21300">
      <w:rPr>
        <w:rFonts w:ascii="方正仿宋_GBK" w:eastAsia="方正仿宋_GBK" w:hAnsi="Times New Roman" w:hint="eastAsia"/>
        <w:kern w:val="0"/>
        <w:sz w:val="28"/>
      </w:rPr>
      <w:fldChar w:fldCharType="end"/>
    </w:r>
    <w:r w:rsidRPr="00E21300">
      <w:rPr>
        <w:rFonts w:ascii="方正仿宋_GBK" w:eastAsia="方正仿宋_GBK" w:hint="eastAsia"/>
        <w:kern w:val="0"/>
        <w:sz w:val="28"/>
        <w:szCs w:val="22"/>
      </w:rPr>
      <w:t xml:space="preserve"> </w:t>
    </w:r>
    <w:r w:rsidRPr="00E21300">
      <w:rPr>
        <w:rFonts w:ascii="方正仿宋_GBK" w:eastAsia="方正仿宋_GBK" w:hint="eastAsia"/>
        <w:sz w:val="28"/>
        <w:szCs w:val="22"/>
      </w:rPr>
      <w:t>―</w:t>
    </w:r>
    <w:r>
      <w:rPr>
        <w:rFonts w:ascii="方正仿宋_GBK" w:eastAsia="方正仿宋_GBK" w:hint="eastAsia"/>
        <w:sz w:val="28"/>
        <w:szCs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330" w:rsidRDefault="00665330" w:rsidP="00737459">
      <w:r>
        <w:separator/>
      </w:r>
    </w:p>
  </w:footnote>
  <w:footnote w:type="continuationSeparator" w:id="0">
    <w:p w:rsidR="00665330" w:rsidRDefault="00665330" w:rsidP="00737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47"/>
    <w:rsid w:val="000003A8"/>
    <w:rsid w:val="000104FF"/>
    <w:rsid w:val="00013AF3"/>
    <w:rsid w:val="00015DD2"/>
    <w:rsid w:val="00017496"/>
    <w:rsid w:val="00024BB8"/>
    <w:rsid w:val="000259A6"/>
    <w:rsid w:val="00030BCA"/>
    <w:rsid w:val="0005153F"/>
    <w:rsid w:val="00062503"/>
    <w:rsid w:val="000648C4"/>
    <w:rsid w:val="00072A60"/>
    <w:rsid w:val="00074B1C"/>
    <w:rsid w:val="000A4DCB"/>
    <w:rsid w:val="000A6A56"/>
    <w:rsid w:val="000B7363"/>
    <w:rsid w:val="000C20FC"/>
    <w:rsid w:val="000C2FA8"/>
    <w:rsid w:val="000C4BA7"/>
    <w:rsid w:val="000C7F9E"/>
    <w:rsid w:val="000D75CE"/>
    <w:rsid w:val="00101720"/>
    <w:rsid w:val="00101819"/>
    <w:rsid w:val="00112071"/>
    <w:rsid w:val="001123D4"/>
    <w:rsid w:val="001126BC"/>
    <w:rsid w:val="001179B0"/>
    <w:rsid w:val="00123F8F"/>
    <w:rsid w:val="001252C8"/>
    <w:rsid w:val="00125BC8"/>
    <w:rsid w:val="001267B9"/>
    <w:rsid w:val="001429C6"/>
    <w:rsid w:val="00145808"/>
    <w:rsid w:val="001478EB"/>
    <w:rsid w:val="001549F3"/>
    <w:rsid w:val="00171C4C"/>
    <w:rsid w:val="00173420"/>
    <w:rsid w:val="00174EC2"/>
    <w:rsid w:val="00177716"/>
    <w:rsid w:val="001836C3"/>
    <w:rsid w:val="001837B6"/>
    <w:rsid w:val="00185809"/>
    <w:rsid w:val="00185B33"/>
    <w:rsid w:val="001B1C64"/>
    <w:rsid w:val="001B3239"/>
    <w:rsid w:val="001C5EE2"/>
    <w:rsid w:val="001D185C"/>
    <w:rsid w:val="001D2D77"/>
    <w:rsid w:val="001D37A2"/>
    <w:rsid w:val="001E3318"/>
    <w:rsid w:val="001E6E19"/>
    <w:rsid w:val="001E7180"/>
    <w:rsid w:val="002150B7"/>
    <w:rsid w:val="00215939"/>
    <w:rsid w:val="002356D9"/>
    <w:rsid w:val="00240F5E"/>
    <w:rsid w:val="00243E67"/>
    <w:rsid w:val="00252957"/>
    <w:rsid w:val="00252C1E"/>
    <w:rsid w:val="0025598E"/>
    <w:rsid w:val="00257ACB"/>
    <w:rsid w:val="002641BF"/>
    <w:rsid w:val="00267F82"/>
    <w:rsid w:val="00271607"/>
    <w:rsid w:val="00271E99"/>
    <w:rsid w:val="002964A5"/>
    <w:rsid w:val="002A313C"/>
    <w:rsid w:val="002C60DD"/>
    <w:rsid w:val="002D2C7B"/>
    <w:rsid w:val="002D734A"/>
    <w:rsid w:val="002F32C6"/>
    <w:rsid w:val="0030792B"/>
    <w:rsid w:val="00316F59"/>
    <w:rsid w:val="00330F29"/>
    <w:rsid w:val="00334CC5"/>
    <w:rsid w:val="00340971"/>
    <w:rsid w:val="00343100"/>
    <w:rsid w:val="00354FE8"/>
    <w:rsid w:val="003741E5"/>
    <w:rsid w:val="003759EF"/>
    <w:rsid w:val="003763F2"/>
    <w:rsid w:val="003834CD"/>
    <w:rsid w:val="00393CBD"/>
    <w:rsid w:val="003956D8"/>
    <w:rsid w:val="003B0066"/>
    <w:rsid w:val="003B43FC"/>
    <w:rsid w:val="003C0721"/>
    <w:rsid w:val="003D3A84"/>
    <w:rsid w:val="003E3B05"/>
    <w:rsid w:val="003F49A2"/>
    <w:rsid w:val="00402B1B"/>
    <w:rsid w:val="004047F5"/>
    <w:rsid w:val="00407839"/>
    <w:rsid w:val="00433B64"/>
    <w:rsid w:val="00436732"/>
    <w:rsid w:val="00437511"/>
    <w:rsid w:val="004416C5"/>
    <w:rsid w:val="00446A75"/>
    <w:rsid w:val="00453B26"/>
    <w:rsid w:val="00455B5D"/>
    <w:rsid w:val="00463FDB"/>
    <w:rsid w:val="00467F73"/>
    <w:rsid w:val="00477106"/>
    <w:rsid w:val="0048526B"/>
    <w:rsid w:val="004875CE"/>
    <w:rsid w:val="004908F6"/>
    <w:rsid w:val="004935CA"/>
    <w:rsid w:val="004A2C09"/>
    <w:rsid w:val="004B0A02"/>
    <w:rsid w:val="004C3271"/>
    <w:rsid w:val="0050162E"/>
    <w:rsid w:val="0050665D"/>
    <w:rsid w:val="00506C7C"/>
    <w:rsid w:val="005070D8"/>
    <w:rsid w:val="00541C20"/>
    <w:rsid w:val="00554FC4"/>
    <w:rsid w:val="00555657"/>
    <w:rsid w:val="00560517"/>
    <w:rsid w:val="00570109"/>
    <w:rsid w:val="00574586"/>
    <w:rsid w:val="005745B0"/>
    <w:rsid w:val="005857FC"/>
    <w:rsid w:val="00585C4B"/>
    <w:rsid w:val="005970FE"/>
    <w:rsid w:val="005A0083"/>
    <w:rsid w:val="005A1D8D"/>
    <w:rsid w:val="005A2BF5"/>
    <w:rsid w:val="005A534E"/>
    <w:rsid w:val="005B5E66"/>
    <w:rsid w:val="005C20C4"/>
    <w:rsid w:val="005C22DD"/>
    <w:rsid w:val="005D68CF"/>
    <w:rsid w:val="006242A1"/>
    <w:rsid w:val="006465CC"/>
    <w:rsid w:val="00657453"/>
    <w:rsid w:val="00662FE8"/>
    <w:rsid w:val="00665330"/>
    <w:rsid w:val="00666A08"/>
    <w:rsid w:val="00676288"/>
    <w:rsid w:val="0068230B"/>
    <w:rsid w:val="00691C80"/>
    <w:rsid w:val="00695CFA"/>
    <w:rsid w:val="00696B9C"/>
    <w:rsid w:val="006A4EF0"/>
    <w:rsid w:val="006B1FBF"/>
    <w:rsid w:val="006D354D"/>
    <w:rsid w:val="006D57DF"/>
    <w:rsid w:val="006D5C4C"/>
    <w:rsid w:val="006D654A"/>
    <w:rsid w:val="006D7286"/>
    <w:rsid w:val="007001ED"/>
    <w:rsid w:val="00701775"/>
    <w:rsid w:val="00712BE1"/>
    <w:rsid w:val="0071552E"/>
    <w:rsid w:val="00715EEF"/>
    <w:rsid w:val="00716D6B"/>
    <w:rsid w:val="007304CA"/>
    <w:rsid w:val="00730D13"/>
    <w:rsid w:val="00737459"/>
    <w:rsid w:val="00790290"/>
    <w:rsid w:val="00792853"/>
    <w:rsid w:val="00796497"/>
    <w:rsid w:val="007B21BC"/>
    <w:rsid w:val="007B30D7"/>
    <w:rsid w:val="007C4A3F"/>
    <w:rsid w:val="007D0027"/>
    <w:rsid w:val="007D21C7"/>
    <w:rsid w:val="007E4744"/>
    <w:rsid w:val="007E6EC9"/>
    <w:rsid w:val="00806865"/>
    <w:rsid w:val="008100B6"/>
    <w:rsid w:val="00814354"/>
    <w:rsid w:val="00822147"/>
    <w:rsid w:val="00830896"/>
    <w:rsid w:val="008358D7"/>
    <w:rsid w:val="00847970"/>
    <w:rsid w:val="00850786"/>
    <w:rsid w:val="0085267C"/>
    <w:rsid w:val="00855D70"/>
    <w:rsid w:val="008678DB"/>
    <w:rsid w:val="00871D2B"/>
    <w:rsid w:val="008735A1"/>
    <w:rsid w:val="00882D78"/>
    <w:rsid w:val="00886708"/>
    <w:rsid w:val="00887349"/>
    <w:rsid w:val="008908F3"/>
    <w:rsid w:val="00890EA7"/>
    <w:rsid w:val="00893E8B"/>
    <w:rsid w:val="00894264"/>
    <w:rsid w:val="00896B5D"/>
    <w:rsid w:val="00897B64"/>
    <w:rsid w:val="008B0BF5"/>
    <w:rsid w:val="008B5EA1"/>
    <w:rsid w:val="008C55EA"/>
    <w:rsid w:val="008D22E4"/>
    <w:rsid w:val="008E414E"/>
    <w:rsid w:val="008E6411"/>
    <w:rsid w:val="008F281B"/>
    <w:rsid w:val="00903A3E"/>
    <w:rsid w:val="00913B9F"/>
    <w:rsid w:val="009217EC"/>
    <w:rsid w:val="009239E2"/>
    <w:rsid w:val="00940D52"/>
    <w:rsid w:val="00950A37"/>
    <w:rsid w:val="00956C30"/>
    <w:rsid w:val="00962894"/>
    <w:rsid w:val="009676F5"/>
    <w:rsid w:val="00971730"/>
    <w:rsid w:val="00971B7F"/>
    <w:rsid w:val="0097396B"/>
    <w:rsid w:val="0098707E"/>
    <w:rsid w:val="0099250F"/>
    <w:rsid w:val="00997960"/>
    <w:rsid w:val="009A163F"/>
    <w:rsid w:val="009A5FED"/>
    <w:rsid w:val="009A65F9"/>
    <w:rsid w:val="009B1016"/>
    <w:rsid w:val="009B4352"/>
    <w:rsid w:val="009D3B6B"/>
    <w:rsid w:val="009D4FC7"/>
    <w:rsid w:val="009E1B88"/>
    <w:rsid w:val="009E1BB1"/>
    <w:rsid w:val="009E2EB0"/>
    <w:rsid w:val="009F343F"/>
    <w:rsid w:val="00A14270"/>
    <w:rsid w:val="00A24FCA"/>
    <w:rsid w:val="00A33576"/>
    <w:rsid w:val="00A46084"/>
    <w:rsid w:val="00A47D29"/>
    <w:rsid w:val="00A6199B"/>
    <w:rsid w:val="00A6208D"/>
    <w:rsid w:val="00A86014"/>
    <w:rsid w:val="00A92AAD"/>
    <w:rsid w:val="00AA3177"/>
    <w:rsid w:val="00AB2F95"/>
    <w:rsid w:val="00AC0A4A"/>
    <w:rsid w:val="00AC0EFB"/>
    <w:rsid w:val="00AC33A1"/>
    <w:rsid w:val="00AC60BA"/>
    <w:rsid w:val="00AD1527"/>
    <w:rsid w:val="00AD252E"/>
    <w:rsid w:val="00AE3A37"/>
    <w:rsid w:val="00AF1C73"/>
    <w:rsid w:val="00AF55DD"/>
    <w:rsid w:val="00B00A82"/>
    <w:rsid w:val="00B05539"/>
    <w:rsid w:val="00B05C91"/>
    <w:rsid w:val="00B05FE0"/>
    <w:rsid w:val="00B14B44"/>
    <w:rsid w:val="00B1757C"/>
    <w:rsid w:val="00B17A19"/>
    <w:rsid w:val="00B23362"/>
    <w:rsid w:val="00B2664B"/>
    <w:rsid w:val="00B365B0"/>
    <w:rsid w:val="00B529EF"/>
    <w:rsid w:val="00B61566"/>
    <w:rsid w:val="00B645E0"/>
    <w:rsid w:val="00B72DA0"/>
    <w:rsid w:val="00B764C5"/>
    <w:rsid w:val="00B76515"/>
    <w:rsid w:val="00B77D32"/>
    <w:rsid w:val="00B85DC0"/>
    <w:rsid w:val="00B91A39"/>
    <w:rsid w:val="00B93480"/>
    <w:rsid w:val="00B97EA4"/>
    <w:rsid w:val="00BA1569"/>
    <w:rsid w:val="00BA7129"/>
    <w:rsid w:val="00BB17F9"/>
    <w:rsid w:val="00BB6302"/>
    <w:rsid w:val="00BB6D1F"/>
    <w:rsid w:val="00BD3176"/>
    <w:rsid w:val="00BE02A2"/>
    <w:rsid w:val="00BE0911"/>
    <w:rsid w:val="00BE67A6"/>
    <w:rsid w:val="00BF556F"/>
    <w:rsid w:val="00C131B9"/>
    <w:rsid w:val="00C17259"/>
    <w:rsid w:val="00C40716"/>
    <w:rsid w:val="00C448FE"/>
    <w:rsid w:val="00C55461"/>
    <w:rsid w:val="00C66077"/>
    <w:rsid w:val="00C96866"/>
    <w:rsid w:val="00CA0DEA"/>
    <w:rsid w:val="00CB17D8"/>
    <w:rsid w:val="00CB3EDA"/>
    <w:rsid w:val="00CC5BB6"/>
    <w:rsid w:val="00CD2112"/>
    <w:rsid w:val="00CD58A2"/>
    <w:rsid w:val="00CD7313"/>
    <w:rsid w:val="00CE3E09"/>
    <w:rsid w:val="00D137E5"/>
    <w:rsid w:val="00D26CD2"/>
    <w:rsid w:val="00D7598F"/>
    <w:rsid w:val="00D90906"/>
    <w:rsid w:val="00D9375E"/>
    <w:rsid w:val="00DA3EE7"/>
    <w:rsid w:val="00DA4413"/>
    <w:rsid w:val="00DB591C"/>
    <w:rsid w:val="00DC3371"/>
    <w:rsid w:val="00DC3433"/>
    <w:rsid w:val="00DC519F"/>
    <w:rsid w:val="00DD1E2E"/>
    <w:rsid w:val="00DD39D6"/>
    <w:rsid w:val="00DD5FB6"/>
    <w:rsid w:val="00DF5899"/>
    <w:rsid w:val="00E05A44"/>
    <w:rsid w:val="00E10E62"/>
    <w:rsid w:val="00E15ACB"/>
    <w:rsid w:val="00E55196"/>
    <w:rsid w:val="00E55D71"/>
    <w:rsid w:val="00E55F81"/>
    <w:rsid w:val="00E571BC"/>
    <w:rsid w:val="00E772CF"/>
    <w:rsid w:val="00E85747"/>
    <w:rsid w:val="00E91639"/>
    <w:rsid w:val="00EB66E7"/>
    <w:rsid w:val="00EC019F"/>
    <w:rsid w:val="00ED104C"/>
    <w:rsid w:val="00ED3211"/>
    <w:rsid w:val="00F11F5F"/>
    <w:rsid w:val="00F12065"/>
    <w:rsid w:val="00F2270C"/>
    <w:rsid w:val="00F22B69"/>
    <w:rsid w:val="00F32BBE"/>
    <w:rsid w:val="00F334B6"/>
    <w:rsid w:val="00F37D24"/>
    <w:rsid w:val="00F52B64"/>
    <w:rsid w:val="00F605D5"/>
    <w:rsid w:val="00F62EC2"/>
    <w:rsid w:val="00F632EC"/>
    <w:rsid w:val="00F67B41"/>
    <w:rsid w:val="00F7729E"/>
    <w:rsid w:val="00F80DAE"/>
    <w:rsid w:val="00F87333"/>
    <w:rsid w:val="00F93BD5"/>
    <w:rsid w:val="00F96ACC"/>
    <w:rsid w:val="00FA36AD"/>
    <w:rsid w:val="00FA66B0"/>
    <w:rsid w:val="00FB5388"/>
    <w:rsid w:val="00FB73F1"/>
    <w:rsid w:val="00FD29A9"/>
    <w:rsid w:val="00FD6FC0"/>
    <w:rsid w:val="00FE4DD2"/>
    <w:rsid w:val="00FF5BDB"/>
    <w:rsid w:val="00FF6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03D173-0564-4E54-A379-3E1FD842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745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37459"/>
    <w:rPr>
      <w:sz w:val="18"/>
      <w:szCs w:val="18"/>
    </w:rPr>
  </w:style>
  <w:style w:type="paragraph" w:styleId="a5">
    <w:name w:val="footer"/>
    <w:basedOn w:val="a"/>
    <w:link w:val="a6"/>
    <w:uiPriority w:val="99"/>
    <w:unhideWhenUsed/>
    <w:rsid w:val="00737459"/>
    <w:pPr>
      <w:tabs>
        <w:tab w:val="center" w:pos="4153"/>
        <w:tab w:val="right" w:pos="8306"/>
      </w:tabs>
      <w:snapToGrid w:val="0"/>
      <w:jc w:val="left"/>
    </w:pPr>
    <w:rPr>
      <w:sz w:val="18"/>
      <w:szCs w:val="18"/>
    </w:rPr>
  </w:style>
  <w:style w:type="character" w:customStyle="1" w:styleId="a6">
    <w:name w:val="页脚 字符"/>
    <w:basedOn w:val="a0"/>
    <w:link w:val="a5"/>
    <w:uiPriority w:val="99"/>
    <w:rsid w:val="00737459"/>
    <w:rPr>
      <w:sz w:val="18"/>
      <w:szCs w:val="18"/>
    </w:rPr>
  </w:style>
  <w:style w:type="paragraph" w:styleId="a7">
    <w:name w:val="Date"/>
    <w:basedOn w:val="a"/>
    <w:next w:val="a"/>
    <w:link w:val="a8"/>
    <w:uiPriority w:val="99"/>
    <w:semiHidden/>
    <w:unhideWhenUsed/>
    <w:rsid w:val="0098707E"/>
    <w:pPr>
      <w:ind w:leftChars="2500" w:left="100"/>
    </w:pPr>
  </w:style>
  <w:style w:type="character" w:customStyle="1" w:styleId="a8">
    <w:name w:val="日期 字符"/>
    <w:basedOn w:val="a0"/>
    <w:link w:val="a7"/>
    <w:uiPriority w:val="99"/>
    <w:semiHidden/>
    <w:rsid w:val="0098707E"/>
  </w:style>
  <w:style w:type="character" w:styleId="a9">
    <w:name w:val="Hyperlink"/>
    <w:basedOn w:val="a0"/>
    <w:uiPriority w:val="99"/>
    <w:unhideWhenUsed/>
    <w:rsid w:val="0098707E"/>
    <w:rPr>
      <w:color w:val="0563C1" w:themeColor="hyperlink"/>
      <w:u w:val="single"/>
    </w:rPr>
  </w:style>
  <w:style w:type="paragraph" w:styleId="aa">
    <w:name w:val="Normal (Web)"/>
    <w:basedOn w:val="a"/>
    <w:uiPriority w:val="99"/>
    <w:semiHidden/>
    <w:unhideWhenUsed/>
    <w:rsid w:val="00101819"/>
    <w:pPr>
      <w:widowControl/>
      <w:spacing w:before="100" w:beforeAutospacing="1" w:after="100" w:afterAutospacing="1"/>
      <w:jc w:val="left"/>
    </w:pPr>
    <w:rPr>
      <w:rFonts w:ascii="Times New Roman" w:eastAsia="Times New Roman" w:hAnsi="Times New Roman" w:cs="Times New Roman"/>
      <w:kern w:val="0"/>
      <w:sz w:val="24"/>
      <w:szCs w:val="24"/>
    </w:rPr>
  </w:style>
  <w:style w:type="character" w:styleId="ab">
    <w:name w:val="Strong"/>
    <w:basedOn w:val="a0"/>
    <w:uiPriority w:val="22"/>
    <w:qFormat/>
    <w:rsid w:val="00101819"/>
    <w:rPr>
      <w:b/>
      <w:bCs/>
    </w:rPr>
  </w:style>
  <w:style w:type="paragraph" w:styleId="ac">
    <w:name w:val="Balloon Text"/>
    <w:basedOn w:val="a"/>
    <w:link w:val="ad"/>
    <w:uiPriority w:val="99"/>
    <w:semiHidden/>
    <w:unhideWhenUsed/>
    <w:rsid w:val="00657453"/>
    <w:rPr>
      <w:rFonts w:ascii="Microsoft YaHei UI" w:eastAsia="Microsoft YaHei UI"/>
      <w:sz w:val="18"/>
      <w:szCs w:val="18"/>
    </w:rPr>
  </w:style>
  <w:style w:type="character" w:customStyle="1" w:styleId="ad">
    <w:name w:val="批注框文本 字符"/>
    <w:basedOn w:val="a0"/>
    <w:link w:val="ac"/>
    <w:uiPriority w:val="99"/>
    <w:semiHidden/>
    <w:rsid w:val="00657453"/>
    <w:rPr>
      <w:rFonts w:ascii="Microsoft YaHei UI" w:eastAsia="Microsoft YaHei UI"/>
      <w:sz w:val="18"/>
      <w:szCs w:val="18"/>
    </w:rPr>
  </w:style>
  <w:style w:type="paragraph" w:styleId="ae">
    <w:name w:val="Revision"/>
    <w:hidden/>
    <w:uiPriority w:val="99"/>
    <w:semiHidden/>
    <w:rsid w:val="00AC0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40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张朝君</dc:creator>
  <cp:keywords/>
  <dc:description/>
  <cp:lastModifiedBy>AutoBVT</cp:lastModifiedBy>
  <cp:revision>13</cp:revision>
  <dcterms:created xsi:type="dcterms:W3CDTF">2020-06-09T09:48:00Z</dcterms:created>
  <dcterms:modified xsi:type="dcterms:W3CDTF">2020-06-11T03:25:00Z</dcterms:modified>
</cp:coreProperties>
</file>