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textAlignment w:val="baseline"/>
        <w:rPr>
          <w:rFonts w:hint="eastAsia" w:ascii="Times New Roman" w:hAnsi="Times New Roman" w:eastAsia="方正小标宋_GBK"/>
          <w:sz w:val="44"/>
          <w:szCs w:val="44"/>
        </w:rPr>
      </w:pPr>
    </w:p>
    <w:p>
      <w:pPr>
        <w:spacing w:line="600" w:lineRule="exact"/>
        <w:textAlignment w:val="baseline"/>
        <w:rPr>
          <w:rFonts w:ascii="方正小标宋_GBK" w:eastAsia="方正小标宋_GBK"/>
          <w:sz w:val="44"/>
          <w:szCs w:val="44"/>
        </w:rPr>
      </w:pPr>
    </w:p>
    <w:p>
      <w:pPr>
        <w:adjustRightInd w:val="0"/>
        <w:snapToGrid w:val="0"/>
        <w:spacing w:line="540" w:lineRule="exact"/>
        <w:jc w:val="center"/>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重庆市知识产权局</w:t>
      </w:r>
    </w:p>
    <w:p>
      <w:pPr>
        <w:adjustRightInd w:val="0"/>
        <w:snapToGrid w:val="0"/>
        <w:spacing w:line="54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关于印发《重庆市知识产权文化教育传播基地管理办法（试行）》的通知</w:t>
      </w:r>
    </w:p>
    <w:p>
      <w:pPr>
        <w:spacing w:line="600" w:lineRule="exact"/>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渝知发〔202</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号</w:t>
      </w:r>
    </w:p>
    <w:p>
      <w:pPr>
        <w:spacing w:line="600" w:lineRule="exact"/>
        <w:jc w:val="center"/>
        <w:rPr>
          <w:rFonts w:ascii="Times New Roman" w:hAnsi="Times New Roman" w:eastAsia="方正仿宋_GBK" w:cs="Times New Roman"/>
          <w:sz w:val="32"/>
          <w:szCs w:val="32"/>
        </w:rPr>
      </w:pPr>
    </w:p>
    <w:p>
      <w:pPr>
        <w:autoSpaceDE w:val="0"/>
        <w:rPr>
          <w:rFonts w:hint="eastAsia" w:ascii="方正仿宋_GBK" w:hAnsi="Times New Roman" w:eastAsia="方正仿宋_GBK"/>
          <w:spacing w:val="-6"/>
          <w:sz w:val="32"/>
          <w:szCs w:val="22"/>
        </w:rPr>
      </w:pPr>
      <w:r>
        <w:rPr>
          <w:rFonts w:hint="eastAsia" w:ascii="方正仿宋_GBK" w:hAnsi="Times New Roman" w:eastAsia="方正仿宋_GBK"/>
          <w:spacing w:val="-6"/>
          <w:sz w:val="32"/>
          <w:szCs w:val="22"/>
        </w:rPr>
        <w:t>区县（自治县）知识产权局（知识产权管理部门），各有关单位：</w:t>
      </w:r>
    </w:p>
    <w:p>
      <w:pPr>
        <w:autoSpaceDE w:val="0"/>
        <w:ind w:firstLine="616" w:firstLineChars="200"/>
        <w:rPr>
          <w:rFonts w:ascii="Times New Roman" w:hAnsi="Times New Roman" w:eastAsia="方正仿宋_GBK" w:cs="Times New Roman"/>
          <w:sz w:val="32"/>
          <w:szCs w:val="22"/>
        </w:rPr>
      </w:pPr>
      <w:r>
        <w:rPr>
          <w:rFonts w:hint="eastAsia" w:ascii="方正仿宋_GBK" w:hAnsi="Times New Roman" w:eastAsia="方正仿宋_GBK"/>
          <w:spacing w:val="-6"/>
          <w:sz w:val="32"/>
          <w:szCs w:val="22"/>
        </w:rPr>
        <w:t>为进一步规范重庆市知识产权文化教育传播基地的建设与管理，我局制定了《重庆市知识产权文化教育传播基地管理办法（试行）》。现印发给你们，请认真遵照执行。</w:t>
      </w:r>
    </w:p>
    <w:p>
      <w:pPr>
        <w:jc w:val="right"/>
        <w:rPr>
          <w:rFonts w:ascii="Times New Roman" w:eastAsia="方正仿宋_GBK"/>
          <w:sz w:val="32"/>
          <w:szCs w:val="22"/>
        </w:rPr>
      </w:pPr>
    </w:p>
    <w:p>
      <w:pPr>
        <w:spacing w:line="600" w:lineRule="exact"/>
        <w:ind w:firstLine="5760" w:firstLineChars="1800"/>
        <w:rPr>
          <w:rFonts w:hint="default" w:ascii="Times New Roman" w:eastAsia="方正仿宋_GBK"/>
          <w:sz w:val="32"/>
          <w:szCs w:val="22"/>
          <w:lang w:val="en-US" w:eastAsia="zh-CN"/>
        </w:rPr>
      </w:pPr>
      <w:r>
        <w:rPr>
          <w:rFonts w:hint="eastAsia" w:ascii="Times New Roman" w:eastAsia="方正仿宋_GBK"/>
          <w:sz w:val="32"/>
          <w:szCs w:val="22"/>
        </w:rPr>
        <w:t>重庆市知识产权局</w:t>
      </w:r>
      <w:r>
        <w:rPr>
          <w:rFonts w:hint="eastAsia" w:ascii="Times New Roman" w:eastAsia="方正仿宋_GBK"/>
          <w:sz w:val="32"/>
          <w:szCs w:val="22"/>
          <w:lang w:val="en-US" w:eastAsia="zh-CN"/>
        </w:rPr>
        <w:t xml:space="preserve">    </w:t>
      </w:r>
    </w:p>
    <w:p>
      <w:pPr>
        <w:spacing w:line="600" w:lineRule="exact"/>
        <w:rPr>
          <w:rFonts w:ascii="Times New Roman" w:hAnsi="Times New Roman" w:eastAsia="方正仿宋_GBK" w:cs="Times New Roman"/>
          <w:sz w:val="32"/>
          <w:szCs w:val="32"/>
        </w:rPr>
      </w:pPr>
      <w:r>
        <w:rPr>
          <w:rFonts w:hint="eastAsia" w:ascii="Times New Roman" w:eastAsia="方正仿宋_GBK"/>
          <w:sz w:val="32"/>
          <w:szCs w:val="22"/>
        </w:rPr>
        <w:t xml:space="preserve">                             </w:t>
      </w:r>
      <w:r>
        <w:rPr>
          <w:rFonts w:hint="eastAsia" w:ascii="Times New Roman" w:eastAsia="方正仿宋_GBK"/>
          <w:sz w:val="32"/>
          <w:szCs w:val="22"/>
          <w:lang w:val="en-US" w:eastAsia="zh-CN"/>
        </w:rPr>
        <w:t xml:space="preserve"> </w:t>
      </w:r>
      <w:r>
        <w:rPr>
          <w:rFonts w:hint="eastAsia" w:ascii="Times New Roman" w:eastAsia="方正仿宋_GBK"/>
          <w:sz w:val="32"/>
          <w:szCs w:val="22"/>
        </w:rPr>
        <w:t xml:space="preserve"> </w:t>
      </w:r>
      <w:r>
        <w:rPr>
          <w:rFonts w:hint="eastAsia" w:ascii="Times New Roman" w:eastAsia="方正仿宋_GBK"/>
          <w:sz w:val="32"/>
          <w:szCs w:val="22"/>
          <w:lang w:val="en-US" w:eastAsia="zh-CN"/>
        </w:rPr>
        <w:t xml:space="preserve">   </w:t>
      </w:r>
      <w:r>
        <w:rPr>
          <w:rFonts w:hint="eastAsia" w:ascii="Times New Roman" w:eastAsia="方正仿宋_GBK"/>
          <w:sz w:val="32"/>
          <w:szCs w:val="22"/>
        </w:rPr>
        <w:t xml:space="preserve">  </w:t>
      </w:r>
      <w:r>
        <w:rPr>
          <w:rFonts w:hint="eastAsia" w:ascii="Times New Roman" w:eastAsia="方正仿宋_GBK"/>
          <w:sz w:val="32"/>
          <w:szCs w:val="22"/>
          <w:lang w:val="en-US" w:eastAsia="zh-CN"/>
        </w:rPr>
        <w:t xml:space="preserve"> </w:t>
      </w:r>
      <w:r>
        <w:rPr>
          <w:rFonts w:hint="eastAsia" w:ascii="Times New Roman" w:eastAsia="方正仿宋_GBK"/>
          <w:sz w:val="32"/>
          <w:szCs w:val="22"/>
        </w:rPr>
        <w:t>202</w:t>
      </w:r>
      <w:r>
        <w:rPr>
          <w:rFonts w:hint="eastAsia" w:ascii="Times New Roman" w:eastAsia="方正仿宋_GBK"/>
          <w:sz w:val="32"/>
          <w:szCs w:val="22"/>
          <w:lang w:val="en-US" w:eastAsia="zh-CN"/>
        </w:rPr>
        <w:t>4</w:t>
      </w:r>
      <w:r>
        <w:rPr>
          <w:rFonts w:hint="eastAsia" w:ascii="Times New Roman" w:eastAsia="方正仿宋_GBK"/>
          <w:sz w:val="32"/>
          <w:szCs w:val="22"/>
        </w:rPr>
        <w:t>年</w:t>
      </w:r>
      <w:r>
        <w:rPr>
          <w:rFonts w:hint="eastAsia" w:ascii="Times New Roman" w:eastAsia="方正仿宋_GBK"/>
          <w:sz w:val="32"/>
          <w:szCs w:val="22"/>
          <w:lang w:val="en-US" w:eastAsia="zh-CN"/>
        </w:rPr>
        <w:t>2</w:t>
      </w:r>
      <w:r>
        <w:rPr>
          <w:rFonts w:hint="eastAsia" w:ascii="Times New Roman" w:eastAsia="方正仿宋_GBK"/>
          <w:sz w:val="32"/>
          <w:szCs w:val="22"/>
        </w:rPr>
        <w:t>月</w:t>
      </w:r>
      <w:r>
        <w:rPr>
          <w:rFonts w:hint="eastAsia" w:ascii="Times New Roman" w:eastAsia="方正仿宋_GBK"/>
          <w:sz w:val="32"/>
          <w:szCs w:val="22"/>
          <w:lang w:val="en-US" w:eastAsia="zh-CN"/>
        </w:rPr>
        <w:t>6</w:t>
      </w:r>
      <w:r>
        <w:rPr>
          <w:rFonts w:hint="eastAsia" w:ascii="Times New Roman" w:eastAsia="方正仿宋_GBK"/>
          <w:sz w:val="32"/>
          <w:szCs w:val="22"/>
        </w:rPr>
        <w:t>日</w:t>
      </w:r>
    </w:p>
    <w:p>
      <w:pPr>
        <w:widowControl/>
        <w:spacing w:line="600" w:lineRule="exact"/>
        <w:rPr>
          <w:rFonts w:ascii="Times New Roman" w:hAnsi="Times New Roman" w:eastAsia="方正小标宋_GBK" w:cs="Times New Roman"/>
          <w:sz w:val="44"/>
          <w:szCs w:val="44"/>
        </w:rPr>
      </w:pPr>
    </w:p>
    <w:p>
      <w:pPr>
        <w:widowControl/>
        <w:spacing w:line="600" w:lineRule="exact"/>
        <w:rPr>
          <w:rFonts w:ascii="Times New Roman" w:hAnsi="Times New Roman" w:eastAsia="方正小标宋_GBK" w:cs="Times New Roman"/>
          <w:sz w:val="44"/>
          <w:szCs w:val="44"/>
        </w:rPr>
      </w:pPr>
    </w:p>
    <w:p>
      <w:pPr>
        <w:widowControl/>
        <w:spacing w:line="600" w:lineRule="exact"/>
        <w:rPr>
          <w:rFonts w:ascii="Times New Roman" w:hAnsi="Times New Roman" w:eastAsia="方正小标宋_GBK" w:cs="Times New Roman"/>
          <w:sz w:val="44"/>
          <w:szCs w:val="44"/>
        </w:rPr>
      </w:pPr>
    </w:p>
    <w:p>
      <w:pPr>
        <w:widowControl/>
        <w:spacing w:line="600" w:lineRule="exact"/>
        <w:rPr>
          <w:rFonts w:ascii="Times New Roman" w:hAnsi="Times New Roman" w:eastAsia="方正小标宋_GBK" w:cs="Times New Roman"/>
          <w:sz w:val="44"/>
          <w:szCs w:val="44"/>
        </w:rPr>
      </w:pPr>
    </w:p>
    <w:p>
      <w:pPr>
        <w:widowControl/>
        <w:spacing w:line="600" w:lineRule="exact"/>
        <w:rPr>
          <w:rFonts w:ascii="Times New Roman" w:hAnsi="Times New Roman" w:eastAsia="方正小标宋_GBK" w:cs="Times New Roman"/>
          <w:sz w:val="44"/>
          <w:szCs w:val="44"/>
        </w:rPr>
      </w:pPr>
    </w:p>
    <w:p>
      <w:pPr>
        <w:widowControl/>
        <w:spacing w:line="600" w:lineRule="exact"/>
        <w:rPr>
          <w:rFonts w:ascii="Times New Roman" w:hAnsi="Times New Roman" w:eastAsia="方正小标宋_GBK" w:cs="Times New Roman"/>
          <w:sz w:val="44"/>
          <w:szCs w:val="44"/>
        </w:rPr>
      </w:pPr>
    </w:p>
    <w:p>
      <w:pPr>
        <w:widowControl/>
        <w:spacing w:line="600" w:lineRule="exact"/>
        <w:rPr>
          <w:rFonts w:ascii="Times New Roman" w:hAnsi="Times New Roman" w:eastAsia="方正小标宋_GBK" w:cs="Times New Roman"/>
          <w:sz w:val="44"/>
          <w:szCs w:val="44"/>
        </w:rPr>
      </w:pPr>
    </w:p>
    <w:p>
      <w:pPr>
        <w:widowControl/>
        <w:spacing w:line="600" w:lineRule="exact"/>
        <w:rPr>
          <w:rFonts w:ascii="Times New Roman" w:hAnsi="Times New Roman" w:eastAsia="方正小标宋_GBK" w:cs="Times New Roman"/>
          <w:sz w:val="44"/>
          <w:szCs w:val="44"/>
        </w:rPr>
      </w:pPr>
    </w:p>
    <w:p>
      <w:pPr>
        <w:snapToGrid w:val="0"/>
        <w:spacing w:line="576" w:lineRule="exact"/>
        <w:jc w:val="center"/>
        <w:rPr>
          <w:rFonts w:ascii="方正小标宋_GBK" w:hAnsi="Calibri" w:eastAsia="方正小标宋_GBK"/>
          <w:sz w:val="44"/>
          <w:szCs w:val="44"/>
        </w:rPr>
      </w:pPr>
      <w:r>
        <w:rPr>
          <w:rFonts w:hint="eastAsia" w:ascii="方正小标宋_GBK" w:eastAsia="方正小标宋_GBK"/>
          <w:sz w:val="44"/>
          <w:szCs w:val="44"/>
        </w:rPr>
        <w:t>重庆市知识产权文化教育传播基地管理办法（试行）</w:t>
      </w:r>
    </w:p>
    <w:p>
      <w:pPr>
        <w:spacing w:line="600" w:lineRule="exact"/>
        <w:jc w:val="center"/>
        <w:rPr>
          <w:rFonts w:ascii="方正黑体_GBK" w:hAnsi="Calibri" w:eastAsia="方正黑体_GBK"/>
          <w:sz w:val="32"/>
          <w:szCs w:val="32"/>
        </w:rPr>
      </w:pPr>
    </w:p>
    <w:p>
      <w:pPr>
        <w:spacing w:line="600" w:lineRule="exact"/>
        <w:jc w:val="center"/>
        <w:rPr>
          <w:rFonts w:ascii="方正黑体_GBK" w:hAnsi="Calibri" w:eastAsia="方正黑体_GBK"/>
          <w:sz w:val="32"/>
          <w:szCs w:val="32"/>
        </w:rPr>
      </w:pPr>
      <w:r>
        <w:rPr>
          <w:rFonts w:hint="eastAsia" w:ascii="方正黑体_GBK" w:hAnsi="Times New Roman" w:eastAsia="方正黑体_GBK"/>
          <w:sz w:val="32"/>
          <w:szCs w:val="22"/>
        </w:rPr>
        <w:t>第一章  总则</w:t>
      </w:r>
    </w:p>
    <w:p>
      <w:pPr>
        <w:spacing w:line="600" w:lineRule="exact"/>
        <w:ind w:firstLine="640" w:firstLineChars="200"/>
        <w:jc w:val="left"/>
        <w:rPr>
          <w:rFonts w:ascii="方正黑体_GBK" w:hAnsi="Calibri" w:eastAsia="方正黑体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黑体_GBK" w:cs="Times New Roman"/>
          <w:sz w:val="32"/>
          <w:szCs w:val="32"/>
        </w:rPr>
        <w:t>第一条</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
        </w:rPr>
        <w:t>为大力弘扬“尊重知识、崇尚创新、诚信守法、公平竞争”的知识产权文化，营造促进知识产权事业高质量发展的基础环境和文化氛围，根据《知识产权强国建设纲要（2021－2035年）》、《“十四五”国家知识产权保护和运用规划》（国发〔2021〕20号）、《中共重庆市委重庆市人民政府关于印发〈重庆市知识产权强市建设纲要〉的通知》（渝委发〔2022〕10号）、《重庆市人民政府办公厅关于印发重庆市知识产权保护和运用“十四五”规划（2021－2025年）的通知》（渝府办发〔2021〕132号）有关要求，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黑体_GBK" w:cs="Times New Roman"/>
          <w:sz w:val="32"/>
          <w:szCs w:val="32"/>
        </w:rPr>
        <w:t>第二条</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重庆市知识产权文化教育传播基地（以下简称传播基地）是在全市知识产权文化教育传播工作中发挥示范、带动和辐射作用的重要平台，是指从事知识产权文化教育宣传活动、拓展知识产权文化教育传播渠道、创作知识产权文化教育宣传作品等工作的企业事业单位或组织。</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方正仿宋_GBK" w:eastAsia="方正仿宋_GBK"/>
          <w:color w:val="000000"/>
          <w:sz w:val="32"/>
        </w:rPr>
      </w:pPr>
      <w:r>
        <w:rPr>
          <w:rFonts w:hint="eastAsia" w:ascii="方正黑体_GBK" w:hAnsi="方正黑体_GBK" w:eastAsia="方正黑体_GBK" w:cs="方正黑体_GBK"/>
          <w:color w:val="000000"/>
          <w:sz w:val="32"/>
        </w:rPr>
        <w:t>第三条</w:t>
      </w:r>
      <w:r>
        <w:rPr>
          <w:rFonts w:hint="eastAsia" w:ascii="方正仿宋_GBK" w:eastAsia="方正仿宋_GBK"/>
          <w:color w:val="000000"/>
          <w:sz w:val="32"/>
        </w:rPr>
        <w:t xml:space="preserve">  传播基地管理工作由市知识产权局会同各区县（自治县）知识产权局（知识产权管理部门）共同组织实施。</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方正仿宋_GBK" w:eastAsia="方正仿宋_GBK"/>
          <w:color w:val="000000"/>
          <w:sz w:val="32"/>
        </w:rPr>
      </w:pPr>
      <w:r>
        <w:rPr>
          <w:rFonts w:hint="eastAsia" w:ascii="方正黑体_GBK" w:eastAsia="方正黑体_GBK"/>
          <w:color w:val="000000"/>
          <w:sz w:val="32"/>
        </w:rPr>
        <w:t>第四条</w:t>
      </w:r>
      <w:r>
        <w:rPr>
          <w:rFonts w:hint="eastAsia" w:ascii="方正仿宋_GBK" w:eastAsia="方正仿宋_GBK"/>
          <w:color w:val="000000"/>
          <w:sz w:val="32"/>
        </w:rPr>
        <w:t xml:space="preserve">  本办法适用于传播基地申报、评审、管理、考核和建设等工作。</w:t>
      </w: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黑体_GBK" w:hAnsi="Times New Roman" w:eastAsia="方正黑体_GBK"/>
          <w:sz w:val="32"/>
          <w:szCs w:val="22"/>
        </w:rPr>
      </w:pPr>
      <w:r>
        <w:rPr>
          <w:rFonts w:hint="eastAsia" w:ascii="方正黑体_GBK" w:hAnsi="Times New Roman" w:eastAsia="方正黑体_GBK"/>
          <w:sz w:val="32"/>
          <w:szCs w:val="22"/>
        </w:rPr>
        <w:t xml:space="preserve">第二章  </w:t>
      </w:r>
      <w:r>
        <w:rPr>
          <w:rFonts w:hint="eastAsia" w:ascii="方正黑体_GBK" w:eastAsia="方正黑体_GBK"/>
          <w:color w:val="000000"/>
          <w:sz w:val="32"/>
        </w:rPr>
        <w:t>申报与评审</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黑体_GBK" w:hAnsi="Times New Roman" w:eastAsia="方正黑体_GBK"/>
          <w:sz w:val="32"/>
          <w:szCs w:val="2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olor w:val="000000"/>
          <w:sz w:val="32"/>
        </w:rPr>
      </w:pPr>
      <w:r>
        <w:rPr>
          <w:rFonts w:ascii="Times New Roman" w:hAnsi="Times New Roman" w:eastAsia="方正黑体_GBK"/>
          <w:color w:val="000000"/>
          <w:sz w:val="32"/>
        </w:rPr>
        <w:t>第</w:t>
      </w:r>
      <w:r>
        <w:rPr>
          <w:rFonts w:hint="eastAsia" w:ascii="Times New Roman" w:hAnsi="Times New Roman" w:eastAsia="方正黑体_GBK"/>
          <w:color w:val="000000"/>
          <w:sz w:val="32"/>
        </w:rPr>
        <w:t>五</w:t>
      </w:r>
      <w:r>
        <w:rPr>
          <w:rFonts w:ascii="Times New Roman" w:hAnsi="Times New Roman" w:eastAsia="方正黑体_GBK"/>
          <w:color w:val="000000"/>
          <w:sz w:val="32"/>
        </w:rPr>
        <w:t>条</w:t>
      </w:r>
      <w:r>
        <w:rPr>
          <w:rFonts w:ascii="Times New Roman" w:hAnsi="Times New Roman" w:eastAsia="方正仿宋_GBK"/>
          <w:color w:val="000000"/>
          <w:sz w:val="32"/>
        </w:rPr>
        <w:t xml:space="preserve">  </w:t>
      </w:r>
      <w:r>
        <w:rPr>
          <w:rFonts w:hint="eastAsia" w:ascii="Times New Roman" w:hAnsi="Times New Roman" w:eastAsia="方正仿宋_GBK"/>
          <w:color w:val="000000"/>
          <w:sz w:val="32"/>
        </w:rPr>
        <w:t>申报传播基地的企业事业单位或组织应具备以下基本条件：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olor w:val="000000"/>
          <w:sz w:val="32"/>
        </w:rPr>
      </w:pPr>
      <w:r>
        <w:rPr>
          <w:rFonts w:hint="eastAsia" w:ascii="Times New Roman" w:hAnsi="Times New Roman" w:eastAsia="方正仿宋_GBK"/>
          <w:color w:val="000000"/>
          <w:sz w:val="32"/>
        </w:rPr>
        <w:t>（一）能够独立开展知识产权文化教育传播活动，能够在全市知识产权文化传播工作中发挥示范、带动和辐射作用；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olor w:val="000000"/>
          <w:sz w:val="32"/>
        </w:rPr>
      </w:pPr>
      <w:r>
        <w:rPr>
          <w:rFonts w:hint="eastAsia" w:ascii="Times New Roman" w:hAnsi="Times New Roman" w:eastAsia="方正仿宋_GBK"/>
          <w:color w:val="000000"/>
          <w:sz w:val="32"/>
        </w:rPr>
        <w:t>（二）未被列入严重违法失信企业名单、未受到财政违法行为处罚处分，且不存在应退未退财政资金的行为；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olor w:val="000000"/>
          <w:sz w:val="32"/>
        </w:rPr>
      </w:pPr>
      <w:r>
        <w:rPr>
          <w:rFonts w:hint="eastAsia" w:ascii="Times New Roman" w:hAnsi="Times New Roman" w:eastAsia="方正仿宋_GBK"/>
          <w:color w:val="000000"/>
          <w:sz w:val="32"/>
        </w:rPr>
        <w:t>（三）具备开展知识产权文化教育传播工作的条件：有开展相关工作的场所、设施、资源，有具体的工作部门和完善的管理制度，有一支能开展相关工作的专职或兼职师资队伍，有年度工作计划和教育培训课程；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olor w:val="000000"/>
          <w:sz w:val="32"/>
        </w:rPr>
      </w:pPr>
      <w:r>
        <w:rPr>
          <w:rFonts w:hint="eastAsia" w:ascii="Times New Roman" w:hAnsi="Times New Roman" w:eastAsia="方正仿宋_GBK"/>
          <w:color w:val="000000"/>
          <w:sz w:val="32"/>
        </w:rPr>
        <w:t>（四）有较强的开展知识产权文化教育传播工作的能力：能够利用网络平台或纸媒渠道开展人民群众喜闻乐见的知识产权案例展示，能够组织开展知识产权创造、保护、运用、服务等各类实践体验活动，以及创新比赛、科技竞赛等相关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olor w:val="000000"/>
          <w:sz w:val="32"/>
        </w:rPr>
      </w:pPr>
      <w:r>
        <w:rPr>
          <w:rFonts w:hint="eastAsia" w:ascii="Times New Roman" w:hAnsi="Times New Roman" w:eastAsia="方正仿宋_GBK"/>
          <w:color w:val="000000"/>
          <w:sz w:val="32"/>
        </w:rPr>
        <w:t>（五）每年组织开展不少于2次知识产权文化教育传播活动。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olor w:val="000000"/>
          <w:sz w:val="32"/>
        </w:rPr>
      </w:pPr>
      <w:r>
        <w:rPr>
          <w:rFonts w:ascii="Times New Roman" w:hAnsi="Times New Roman" w:eastAsia="方正黑体_GBK"/>
          <w:color w:val="000000"/>
          <w:sz w:val="32"/>
        </w:rPr>
        <w:t>第</w:t>
      </w:r>
      <w:r>
        <w:rPr>
          <w:rFonts w:hint="eastAsia" w:ascii="Times New Roman" w:hAnsi="Times New Roman" w:eastAsia="方正黑体_GBK"/>
          <w:color w:val="000000"/>
          <w:sz w:val="32"/>
        </w:rPr>
        <w:t>六</w:t>
      </w:r>
      <w:r>
        <w:rPr>
          <w:rFonts w:ascii="Times New Roman" w:hAnsi="Times New Roman" w:eastAsia="方正黑体_GBK"/>
          <w:color w:val="000000"/>
          <w:sz w:val="32"/>
        </w:rPr>
        <w:t>条</w:t>
      </w:r>
      <w:r>
        <w:rPr>
          <w:rFonts w:ascii="Times New Roman" w:hAnsi="Times New Roman" w:eastAsia="方正仿宋_GBK"/>
          <w:color w:val="000000"/>
          <w:sz w:val="32"/>
        </w:rPr>
        <w:t xml:space="preserve">  </w:t>
      </w:r>
      <w:r>
        <w:rPr>
          <w:rFonts w:hint="eastAsia" w:ascii="Times New Roman" w:hAnsi="Times New Roman" w:eastAsia="方正仿宋_GBK"/>
          <w:color w:val="000000"/>
          <w:sz w:val="32"/>
        </w:rPr>
        <w:t>申报流程：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olor w:val="000000"/>
          <w:sz w:val="32"/>
        </w:rPr>
      </w:pPr>
      <w:r>
        <w:rPr>
          <w:rFonts w:hint="eastAsia" w:ascii="Times New Roman" w:hAnsi="Times New Roman" w:eastAsia="方正仿宋_GBK"/>
          <w:color w:val="000000"/>
          <w:sz w:val="32"/>
        </w:rPr>
        <w:t>（一）发布申报通知。市知识产权局发布申报通知，明确传播基地的申报时间、方式、条件和相关要求。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olor w:val="000000"/>
          <w:sz w:val="32"/>
        </w:rPr>
      </w:pPr>
      <w:r>
        <w:rPr>
          <w:rFonts w:hint="eastAsia" w:ascii="Times New Roman" w:hAnsi="Times New Roman" w:eastAsia="方正仿宋_GBK"/>
          <w:color w:val="000000"/>
          <w:sz w:val="32"/>
        </w:rPr>
        <w:t>（二）提交申报材料。传播基地申报单位或组织按照属地管理原则向所属区县（自治县）知识产权局（知识产权管理部门）提交以下申报材料：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olor w:val="000000"/>
          <w:sz w:val="32"/>
        </w:rPr>
      </w:pPr>
      <w:r>
        <w:rPr>
          <w:rFonts w:hint="eastAsia" w:ascii="Times New Roman" w:hAnsi="Times New Roman" w:eastAsia="方正仿宋_GBK"/>
          <w:color w:val="000000"/>
          <w:sz w:val="32"/>
        </w:rPr>
        <w:t>（1）《重庆市知识产权文化教育传播基地申报表》一式两份。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olor w:val="000000"/>
          <w:sz w:val="32"/>
        </w:rPr>
      </w:pPr>
      <w:r>
        <w:rPr>
          <w:rFonts w:hint="eastAsia" w:ascii="Times New Roman" w:hAnsi="Times New Roman" w:eastAsia="方正仿宋_GBK"/>
          <w:color w:val="000000"/>
          <w:sz w:val="32"/>
        </w:rPr>
        <w:t>（2）相关证明材料：包括申报单位或组织的详细介绍；单位法人资格证书及相关资质证明材料；开展知识产权文化教育传播的基础设施、设备情况；工作人员资质、学历证明材料；开展知识产权文化教育传播活动的新闻报道、照片等；申报单位或组织认为需要提交的其他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olor w:val="000000"/>
          <w:sz w:val="32"/>
        </w:rPr>
      </w:pPr>
      <w:r>
        <w:rPr>
          <w:rFonts w:hint="eastAsia" w:ascii="Times New Roman" w:hAnsi="Times New Roman" w:eastAsia="方正仿宋_GBK"/>
          <w:color w:val="000000"/>
          <w:sz w:val="32"/>
        </w:rPr>
        <w:t>（三）初审。区县（自治县）知识产权局（知识产权管理部门）对申报材料进行初审，将符合第五条基本条件的申报单位或组织名单和申报材料汇总报送至市知识产权局。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olor w:val="000000"/>
          <w:sz w:val="32"/>
        </w:rPr>
      </w:pPr>
      <w:r>
        <w:rPr>
          <w:rFonts w:hint="eastAsia" w:ascii="Times New Roman" w:hAnsi="Times New Roman" w:eastAsia="方正仿宋_GBK"/>
          <w:color w:val="000000"/>
          <w:sz w:val="32"/>
        </w:rPr>
        <w:t>（四）复审。市知识产权局组织专家对申报单位进行复审和综合评议，提出传播基地建议名单。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olor w:val="000000"/>
          <w:sz w:val="32"/>
        </w:rPr>
      </w:pPr>
      <w:r>
        <w:rPr>
          <w:rFonts w:hint="eastAsia" w:ascii="Times New Roman" w:hAnsi="Times New Roman" w:eastAsia="方正仿宋_GBK"/>
          <w:color w:val="000000"/>
          <w:sz w:val="32"/>
        </w:rPr>
        <w:t>（五）审定。市知识产权局局长办公会审定传播基地建议名单。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olor w:val="000000"/>
          <w:sz w:val="32"/>
        </w:rPr>
      </w:pPr>
      <w:r>
        <w:rPr>
          <w:rFonts w:hint="eastAsia" w:ascii="Times New Roman" w:hAnsi="Times New Roman" w:eastAsia="方正仿宋_GBK"/>
          <w:color w:val="000000"/>
          <w:sz w:val="32"/>
        </w:rPr>
        <w:t>（六）公示。市知识产权局将传播基地建议名单向社会公示，公示无异议后，将建议名单中的传播基地命名为“重庆市知识产权文化教育传播基地”。</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color w:val="000000"/>
          <w:sz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eastAsia="方正黑体_GBK"/>
          <w:color w:val="000000"/>
          <w:sz w:val="32"/>
        </w:rPr>
      </w:pPr>
      <w:r>
        <w:rPr>
          <w:rFonts w:hint="eastAsia" w:ascii="方正黑体_GBK" w:eastAsia="方正黑体_GBK"/>
          <w:color w:val="000000"/>
          <w:sz w:val="32"/>
        </w:rPr>
        <w:t>第三章  管理与考核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color w:val="000000"/>
          <w:sz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_GBK" w:eastAsia="方正黑体_GBK"/>
          <w:color w:val="000000"/>
          <w:sz w:val="32"/>
        </w:rPr>
      </w:pPr>
      <w:r>
        <w:rPr>
          <w:rFonts w:hint="eastAsia" w:ascii="方正黑体_GBK" w:eastAsia="方正黑体_GBK"/>
          <w:color w:val="000000"/>
          <w:sz w:val="32"/>
        </w:rPr>
        <w:t>第七</w:t>
      </w:r>
      <w:r>
        <w:rPr>
          <w:rFonts w:ascii="方正黑体_GBK" w:eastAsia="方正黑体_GBK"/>
          <w:color w:val="000000"/>
          <w:sz w:val="32"/>
        </w:rPr>
        <w:t>条</w:t>
      </w:r>
      <w:r>
        <w:rPr>
          <w:rFonts w:hint="eastAsia" w:ascii="方正黑体_GBK" w:eastAsia="方正黑体_GBK"/>
          <w:color w:val="000000"/>
          <w:sz w:val="32"/>
        </w:rPr>
        <w:t xml:space="preserve">  </w:t>
      </w:r>
      <w:r>
        <w:rPr>
          <w:rFonts w:hint="eastAsia" w:ascii="方正仿宋_GBK" w:eastAsia="方正仿宋_GBK"/>
          <w:color w:val="000000"/>
          <w:sz w:val="32"/>
        </w:rPr>
        <w:t>传播基地应按照市知识产权局通知要求，每年向所在区县（自治县）知识产权局（知识产权管理部门）和市知识产权局报送当年的工作总结和下一年工作计划。</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Times New Roman" w:hAnsi="Times New Roman" w:eastAsia="方正仿宋_GBK"/>
          <w:color w:val="000000"/>
          <w:sz w:val="32"/>
        </w:rPr>
      </w:pPr>
      <w:r>
        <w:rPr>
          <w:rFonts w:hint="eastAsia" w:ascii="方正黑体_GBK" w:eastAsia="方正黑体_GBK"/>
          <w:color w:val="000000"/>
          <w:sz w:val="32"/>
        </w:rPr>
        <w:t>第八条</w:t>
      </w:r>
      <w:r>
        <w:rPr>
          <w:rFonts w:hint="eastAsia" w:ascii="方正仿宋_GBK" w:eastAsia="方正仿宋_GBK"/>
          <w:color w:val="000000"/>
          <w:sz w:val="32"/>
        </w:rPr>
        <w:t xml:space="preserve">  </w:t>
      </w:r>
      <w:r>
        <w:rPr>
          <w:rFonts w:hint="eastAsia" w:ascii="Times New Roman" w:hAnsi="Times New Roman" w:eastAsia="方正仿宋_GBK"/>
          <w:color w:val="000000"/>
          <w:sz w:val="32"/>
        </w:rPr>
        <w:t>市知识产权局按照“竞争入选、达标认定、定期评估、不合格淘汰”的动态管理机制对传播基地进行管理与考核。</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方正仿宋_GBK" w:eastAsia="方正仿宋_GBK"/>
          <w:color w:val="000000"/>
          <w:sz w:val="32"/>
        </w:rPr>
      </w:pPr>
      <w:r>
        <w:rPr>
          <w:rFonts w:hint="eastAsia" w:ascii="Times New Roman" w:hAnsi="Times New Roman" w:eastAsia="方正仿宋_GBK"/>
          <w:color w:val="000000"/>
          <w:sz w:val="32"/>
        </w:rPr>
        <w:t>市知识产权局对传播基地开展知识产权文化教育传播工作情况进行年度考核并公布考核结果。考核结果分为：优秀、良好、合格和不合格四个等级。无正当理由未参与年度考核的传播基地，年度考核结果为不合格。</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Times New Roman" w:hAnsi="Times New Roman" w:eastAsia="方正仿宋_GBK"/>
          <w:color w:val="000000"/>
          <w:sz w:val="32"/>
        </w:rPr>
      </w:pPr>
      <w:r>
        <w:rPr>
          <w:rFonts w:ascii="Times New Roman" w:hAnsi="Times New Roman" w:eastAsia="方正黑体_GBK"/>
          <w:color w:val="000000"/>
          <w:sz w:val="32"/>
        </w:rPr>
        <w:t>第</w:t>
      </w:r>
      <w:r>
        <w:rPr>
          <w:rFonts w:hint="eastAsia" w:ascii="Times New Roman" w:hAnsi="Times New Roman" w:eastAsia="方正黑体_GBK"/>
          <w:color w:val="000000"/>
          <w:sz w:val="32"/>
        </w:rPr>
        <w:t>九</w:t>
      </w:r>
      <w:r>
        <w:rPr>
          <w:rFonts w:ascii="Times New Roman" w:hAnsi="Times New Roman" w:eastAsia="方正黑体_GBK"/>
          <w:color w:val="000000"/>
          <w:sz w:val="32"/>
        </w:rPr>
        <w:t>条</w:t>
      </w:r>
      <w:r>
        <w:rPr>
          <w:rFonts w:ascii="Times New Roman" w:hAnsi="Times New Roman" w:eastAsia="方正仿宋_GBK"/>
          <w:color w:val="000000"/>
          <w:sz w:val="32"/>
        </w:rPr>
        <w:t xml:space="preserve">  </w:t>
      </w:r>
      <w:r>
        <w:rPr>
          <w:rFonts w:hint="eastAsia" w:ascii="Times New Roman" w:hAnsi="Times New Roman" w:eastAsia="方正仿宋_GBK"/>
          <w:color w:val="000000"/>
          <w:sz w:val="32"/>
        </w:rPr>
        <w:t>考核流程：</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Times New Roman" w:hAnsi="Times New Roman" w:eastAsia="方正仿宋_GBK"/>
          <w:color w:val="000000"/>
          <w:sz w:val="32"/>
        </w:rPr>
      </w:pPr>
      <w:r>
        <w:rPr>
          <w:rFonts w:hint="eastAsia" w:ascii="Times New Roman" w:hAnsi="Times New Roman" w:eastAsia="方正仿宋_GBK"/>
          <w:color w:val="000000"/>
          <w:sz w:val="32"/>
        </w:rPr>
        <w:t>（一）发布通知。市知识产权局发布年度考核通知，明确考核时间、形式、指标和相关要求。</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Times New Roman" w:hAnsi="Times New Roman" w:eastAsia="方正仿宋_GBK"/>
          <w:color w:val="000000"/>
          <w:sz w:val="32"/>
        </w:rPr>
      </w:pPr>
      <w:r>
        <w:rPr>
          <w:rFonts w:hint="eastAsia" w:ascii="Times New Roman" w:hAnsi="Times New Roman" w:eastAsia="方正仿宋_GBK"/>
          <w:color w:val="000000"/>
          <w:sz w:val="32"/>
        </w:rPr>
        <w:t>（二）报送材料。传播基地承担单位或组织按照属地管理原则向所属区县（自治县）知识产权局（知识产权管理部门）提交考核材料。</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Times New Roman" w:hAnsi="Times New Roman" w:eastAsia="方正仿宋_GBK"/>
          <w:color w:val="000000"/>
          <w:sz w:val="32"/>
        </w:rPr>
      </w:pPr>
      <w:r>
        <w:rPr>
          <w:rFonts w:hint="eastAsia" w:ascii="Times New Roman" w:hAnsi="Times New Roman" w:eastAsia="方正仿宋_GBK"/>
          <w:color w:val="000000"/>
          <w:sz w:val="32"/>
        </w:rPr>
        <w:t>（三）初审。区县（自治县）知识产权局（知识产权管理部门）根据年度考核通知的要求对考核材料进行初审，将符合要求的考核材料报送至市知识产权局。</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Times New Roman" w:hAnsi="Times New Roman" w:eastAsia="方正仿宋_GBK"/>
          <w:color w:val="000000"/>
          <w:sz w:val="32"/>
        </w:rPr>
      </w:pPr>
      <w:r>
        <w:rPr>
          <w:rFonts w:hint="eastAsia" w:ascii="Times New Roman" w:hAnsi="Times New Roman" w:eastAsia="方正仿宋_GBK"/>
          <w:color w:val="000000"/>
          <w:sz w:val="32"/>
        </w:rPr>
        <w:t>（四）复审。市知识产权局组织专家对传播基地年度工作情况进行复审，得出年度考核结果。</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Times New Roman" w:hAnsi="Times New Roman" w:eastAsia="方正仿宋_GBK"/>
          <w:color w:val="000000"/>
          <w:sz w:val="32"/>
        </w:rPr>
      </w:pPr>
      <w:r>
        <w:rPr>
          <w:rFonts w:hint="eastAsia" w:ascii="Times New Roman" w:hAnsi="Times New Roman" w:eastAsia="方正仿宋_GBK"/>
          <w:color w:val="000000"/>
          <w:sz w:val="32"/>
        </w:rPr>
        <w:t>（五）审定。市知识产权局局长办公会审定传播基地年度考核结果。</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仿宋_GBK"/>
          <w:color w:val="000000"/>
          <w:sz w:val="32"/>
        </w:rPr>
      </w:pPr>
      <w:r>
        <w:rPr>
          <w:rFonts w:hint="eastAsia" w:ascii="Times New Roman" w:hAnsi="Times New Roman" w:eastAsia="方正仿宋_GBK"/>
          <w:color w:val="000000"/>
          <w:sz w:val="32"/>
        </w:rPr>
        <w:t>（六）反馈考核结果。市知识产权局将年度考核结果反馈传播基地。</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Times New Roman" w:hAnsi="Times New Roman" w:eastAsia="方正仿宋_GBK"/>
          <w:color w:val="000000"/>
          <w:sz w:val="32"/>
        </w:rPr>
      </w:pPr>
      <w:r>
        <w:rPr>
          <w:rFonts w:ascii="Times New Roman" w:hAnsi="Times New Roman" w:eastAsia="方正黑体_GBK"/>
          <w:color w:val="000000"/>
          <w:sz w:val="32"/>
        </w:rPr>
        <w:t>第</w:t>
      </w:r>
      <w:r>
        <w:rPr>
          <w:rFonts w:hint="eastAsia" w:ascii="Times New Roman" w:hAnsi="Times New Roman" w:eastAsia="方正黑体_GBK"/>
          <w:color w:val="000000"/>
          <w:sz w:val="32"/>
        </w:rPr>
        <w:t>十</w:t>
      </w:r>
      <w:r>
        <w:rPr>
          <w:rFonts w:ascii="Times New Roman" w:hAnsi="Times New Roman" w:eastAsia="方正黑体_GBK"/>
          <w:color w:val="000000"/>
          <w:sz w:val="32"/>
        </w:rPr>
        <w:t>条</w:t>
      </w:r>
      <w:r>
        <w:rPr>
          <w:rFonts w:ascii="Times New Roman" w:hAnsi="Times New Roman" w:eastAsia="方正仿宋_GBK"/>
          <w:color w:val="000000"/>
          <w:sz w:val="32"/>
        </w:rPr>
        <w:t xml:space="preserve">  </w:t>
      </w:r>
      <w:r>
        <w:rPr>
          <w:rFonts w:hint="eastAsia" w:ascii="Times New Roman" w:hAnsi="Times New Roman" w:eastAsia="方正仿宋_GBK"/>
          <w:color w:val="000000"/>
          <w:sz w:val="32"/>
        </w:rPr>
        <w:t>出现下列情况之一的，取消“重庆市知识产权文化教育传播基地”称号：</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Times New Roman" w:hAnsi="Times New Roman" w:eastAsia="方正仿宋_GBK"/>
          <w:color w:val="000000"/>
          <w:sz w:val="32"/>
        </w:rPr>
      </w:pPr>
      <w:r>
        <w:rPr>
          <w:rFonts w:hint="eastAsia" w:ascii="Times New Roman" w:hAnsi="Times New Roman" w:eastAsia="方正仿宋_GBK"/>
          <w:color w:val="000000"/>
          <w:sz w:val="32"/>
        </w:rPr>
        <w:t>（一）自愿提出放弃传播基地建设的；</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Times New Roman" w:hAnsi="Times New Roman" w:eastAsia="方正仿宋_GBK"/>
          <w:color w:val="000000"/>
          <w:sz w:val="32"/>
        </w:rPr>
      </w:pPr>
      <w:r>
        <w:rPr>
          <w:rFonts w:hint="eastAsia" w:ascii="Times New Roman" w:hAnsi="Times New Roman" w:eastAsia="方正仿宋_GBK"/>
          <w:color w:val="000000"/>
          <w:sz w:val="32"/>
        </w:rPr>
        <w:t>（二）因不可抗力因素无法继续履行传播基地职能的；</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Times New Roman" w:hAnsi="Times New Roman" w:eastAsia="方正仿宋_GBK"/>
          <w:color w:val="000000"/>
          <w:sz w:val="32"/>
        </w:rPr>
      </w:pPr>
      <w:r>
        <w:rPr>
          <w:rFonts w:hint="eastAsia" w:ascii="Times New Roman" w:hAnsi="Times New Roman" w:eastAsia="方正仿宋_GBK"/>
          <w:color w:val="000000"/>
          <w:sz w:val="32"/>
        </w:rPr>
        <w:t>（三）承担单位或组织的有关言论或行为在社会上造成不良影响或出现违法、违规行为的；</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Times New Roman" w:hAnsi="Times New Roman" w:eastAsia="方正仿宋_GBK"/>
          <w:color w:val="000000"/>
          <w:sz w:val="32"/>
        </w:rPr>
      </w:pPr>
      <w:r>
        <w:rPr>
          <w:rFonts w:hint="eastAsia" w:ascii="Times New Roman" w:hAnsi="Times New Roman" w:eastAsia="方正仿宋_GBK"/>
          <w:color w:val="000000"/>
          <w:sz w:val="32"/>
        </w:rPr>
        <w:t>（四）基地管理或相关责任主体存在不端行为或存在违法违纪行为的；</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Times New Roman" w:hAnsi="Times New Roman" w:eastAsia="方正仿宋_GBK"/>
          <w:color w:val="000000"/>
          <w:sz w:val="32"/>
        </w:rPr>
      </w:pPr>
      <w:r>
        <w:rPr>
          <w:rFonts w:hint="eastAsia" w:ascii="Times New Roman" w:hAnsi="Times New Roman" w:eastAsia="方正仿宋_GBK"/>
          <w:color w:val="000000"/>
          <w:sz w:val="32"/>
        </w:rPr>
        <w:t>（五）在申报过程中存在弄虚作假或欺骗隐瞒行为的；</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Times New Roman" w:hAnsi="Times New Roman" w:eastAsia="方正仿宋_GBK"/>
          <w:color w:val="000000"/>
          <w:sz w:val="32"/>
        </w:rPr>
      </w:pPr>
      <w:r>
        <w:rPr>
          <w:rFonts w:hint="eastAsia" w:ascii="Times New Roman" w:hAnsi="Times New Roman" w:eastAsia="方正仿宋_GBK"/>
          <w:color w:val="000000"/>
          <w:sz w:val="32"/>
        </w:rPr>
        <w:t>（六）在年度考核过程中存在弄虚作假或欺骗隐瞒行为的；</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Times New Roman" w:hAnsi="Times New Roman" w:eastAsia="方正仿宋_GBK"/>
          <w:color w:val="000000"/>
          <w:sz w:val="32"/>
        </w:rPr>
      </w:pPr>
      <w:r>
        <w:rPr>
          <w:rFonts w:hint="eastAsia" w:ascii="Times New Roman" w:hAnsi="Times New Roman" w:eastAsia="方正仿宋_GBK"/>
          <w:color w:val="000000"/>
          <w:sz w:val="32"/>
        </w:rPr>
        <w:t>（七）连续两次年度考核结果为“不合格”的；</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仿宋_GBK"/>
          <w:color w:val="000000"/>
          <w:sz w:val="32"/>
        </w:rPr>
      </w:pPr>
      <w:r>
        <w:rPr>
          <w:rFonts w:hint="eastAsia" w:ascii="Times New Roman" w:hAnsi="Times New Roman" w:eastAsia="方正仿宋_GBK"/>
          <w:color w:val="000000"/>
          <w:sz w:val="32"/>
        </w:rPr>
        <w:t>（八）其他需要撤销称号的情形。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color w:val="000000"/>
          <w:sz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黑体_GBK" w:eastAsia="方正黑体_GBK"/>
          <w:color w:val="000000"/>
          <w:sz w:val="32"/>
        </w:rPr>
      </w:pPr>
      <w:r>
        <w:rPr>
          <w:rFonts w:hint="eastAsia" w:ascii="方正黑体_GBK" w:eastAsia="方正黑体_GBK"/>
          <w:color w:val="000000"/>
          <w:sz w:val="32"/>
        </w:rPr>
        <w:t>第四章  建设与支持</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黑体_GBK"/>
          <w:color w:val="000000"/>
          <w:sz w:val="32"/>
        </w:rPr>
      </w:pP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仿宋_GBK"/>
          <w:color w:val="000000"/>
          <w:sz w:val="32"/>
        </w:rPr>
      </w:pPr>
      <w:r>
        <w:rPr>
          <w:rFonts w:ascii="Times New Roman" w:hAnsi="Times New Roman" w:eastAsia="方正黑体_GBK"/>
          <w:color w:val="000000"/>
          <w:sz w:val="32"/>
        </w:rPr>
        <w:t>第</w:t>
      </w:r>
      <w:r>
        <w:rPr>
          <w:rFonts w:hint="eastAsia" w:ascii="Times New Roman" w:hAnsi="Times New Roman" w:eastAsia="方正黑体_GBK"/>
          <w:color w:val="000000"/>
          <w:sz w:val="32"/>
        </w:rPr>
        <w:t>十一</w:t>
      </w:r>
      <w:r>
        <w:rPr>
          <w:rFonts w:ascii="Times New Roman" w:hAnsi="Times New Roman" w:eastAsia="方正黑体_GBK"/>
          <w:color w:val="000000"/>
          <w:sz w:val="32"/>
        </w:rPr>
        <w:t>条</w:t>
      </w:r>
      <w:r>
        <w:rPr>
          <w:rFonts w:ascii="Times New Roman" w:hAnsi="Times New Roman" w:eastAsia="方正仿宋_GBK"/>
          <w:color w:val="000000"/>
          <w:sz w:val="32"/>
        </w:rPr>
        <w:t xml:space="preserve">  </w:t>
      </w:r>
      <w:r>
        <w:rPr>
          <w:rFonts w:hint="eastAsia" w:ascii="Times New Roman" w:hAnsi="Times New Roman" w:eastAsia="方正仿宋_GBK"/>
          <w:color w:val="000000"/>
          <w:sz w:val="32"/>
        </w:rPr>
        <w:t>传播基地承担单位或组织应当严格遵守相关政策法规和社会准则，积极开展知识产权文化教育宣传活动，大力拓展知识产权文化教育传播渠道，积极创作知识产权文化教育宣传作品，探索形成一系列知识产权文化教育传播好做法、好经验，建立长效工作机制。</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方正仿宋_GBK" w:eastAsia="方正仿宋_GBK"/>
          <w:color w:val="000000"/>
          <w:sz w:val="32"/>
        </w:rPr>
      </w:pPr>
      <w:r>
        <w:rPr>
          <w:rFonts w:hint="eastAsia" w:ascii="方正黑体_GBK" w:eastAsia="方正黑体_GBK"/>
          <w:color w:val="000000"/>
          <w:sz w:val="32"/>
        </w:rPr>
        <w:t>第十二条</w:t>
      </w:r>
      <w:r>
        <w:rPr>
          <w:rFonts w:hint="eastAsia" w:ascii="方正仿宋_GBK" w:eastAsia="方正仿宋_GBK"/>
          <w:color w:val="000000"/>
          <w:sz w:val="32"/>
        </w:rPr>
        <w:t xml:space="preserve">  传播基地承担单位或组织应为传播基地开展相关工作提供支撑和保障，应当积极参加重庆市知识产权宣传周等重大主题活动，主动向市知识产权局报送活动信息。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color w:val="000000"/>
          <w:sz w:val="32"/>
        </w:rPr>
      </w:pPr>
      <w:r>
        <w:rPr>
          <w:rFonts w:hint="eastAsia" w:ascii="方正黑体_GBK" w:eastAsia="方正黑体_GBK"/>
          <w:color w:val="000000"/>
          <w:sz w:val="32"/>
        </w:rPr>
        <w:t>第十三条</w:t>
      </w:r>
      <w:r>
        <w:rPr>
          <w:rFonts w:hint="eastAsia" w:ascii="方正仿宋_GBK" w:eastAsia="方正仿宋_GBK"/>
          <w:color w:val="000000"/>
          <w:sz w:val="32"/>
        </w:rPr>
        <w:t xml:space="preserve">  传播基地采取属地化管理，自觉接受所在区县（自治县）知识产权局（知识产权管理部门）的指导。区县（自治县）知识产权局（知识产权管理部门）应鼓励和引导当地传播基地承担单位或组织不断探索创新。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color w:val="000000"/>
          <w:sz w:val="32"/>
        </w:rPr>
      </w:pPr>
      <w:r>
        <w:rPr>
          <w:rFonts w:hint="eastAsia" w:ascii="方正黑体_GBK" w:eastAsia="方正黑体_GBK"/>
          <w:color w:val="000000"/>
          <w:sz w:val="32"/>
        </w:rPr>
        <w:t>第十四条</w:t>
      </w:r>
      <w:r>
        <w:rPr>
          <w:rFonts w:ascii="方正仿宋_GBK" w:eastAsia="方正仿宋_GBK"/>
          <w:color w:val="000000"/>
          <w:sz w:val="32"/>
        </w:rPr>
        <w:t xml:space="preserve">  </w:t>
      </w:r>
      <w:r>
        <w:rPr>
          <w:rFonts w:hint="eastAsia" w:ascii="方正仿宋_GBK" w:eastAsia="方正仿宋_GBK"/>
          <w:color w:val="000000"/>
          <w:sz w:val="32"/>
        </w:rPr>
        <w:t>市知识产权局根据重庆市知识产权专项资金项目管理办法、年度财政预算、传播基地年度考核结果，对工作成绩突出的传播基地给予一定的工作经费补助。</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ascii="方正仿宋_GBK" w:eastAsia="方正仿宋_GBK"/>
          <w:color w:val="000000"/>
          <w:sz w:val="32"/>
        </w:rPr>
      </w:pPr>
      <w:r>
        <w:rPr>
          <w:rFonts w:hint="eastAsia" w:ascii="方正黑体_GBK" w:eastAsia="方正黑体_GBK"/>
          <w:color w:val="000000"/>
          <w:spacing w:val="-6"/>
          <w:sz w:val="32"/>
        </w:rPr>
        <w:t>第十五条</w:t>
      </w:r>
      <w:r>
        <w:rPr>
          <w:rFonts w:hint="eastAsia" w:ascii="方正仿宋_GBK" w:eastAsia="方正仿宋_GBK"/>
          <w:color w:val="000000"/>
          <w:spacing w:val="-6"/>
          <w:sz w:val="32"/>
        </w:rPr>
        <w:t xml:space="preserve">  </w:t>
      </w:r>
      <w:r>
        <w:rPr>
          <w:rFonts w:hint="eastAsia" w:ascii="方正仿宋_GBK" w:hAnsi="Times New Roman" w:eastAsia="方正仿宋_GBK"/>
          <w:color w:val="000000"/>
          <w:spacing w:val="-6"/>
          <w:sz w:val="32"/>
        </w:rPr>
        <w:t>市知识产权局鼓励和支持企业事业单位或组织建设传播基地，积极开展知识产权文化教育传播活动。市知识产权局有权无偿使用或授权使用传播基地成果用于公益传播。</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color w:val="000000"/>
          <w:sz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黑体_GBK" w:eastAsia="方正黑体_GBK"/>
          <w:color w:val="000000"/>
          <w:sz w:val="32"/>
        </w:rPr>
      </w:pPr>
      <w:r>
        <w:rPr>
          <w:rFonts w:hint="eastAsia" w:ascii="方正黑体_GBK" w:eastAsia="方正黑体_GBK"/>
          <w:color w:val="000000"/>
          <w:sz w:val="32"/>
        </w:rPr>
        <w:t>第五章  附则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color w:val="000000"/>
          <w:sz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color w:val="000000"/>
          <w:sz w:val="32"/>
        </w:rPr>
      </w:pPr>
      <w:r>
        <w:rPr>
          <w:rFonts w:hint="eastAsia" w:ascii="方正黑体_GBK" w:eastAsia="方正黑体_GBK"/>
          <w:color w:val="000000"/>
          <w:sz w:val="32"/>
        </w:rPr>
        <w:t>第十六条</w:t>
      </w:r>
      <w:r>
        <w:rPr>
          <w:rFonts w:hint="eastAsia" w:ascii="方正仿宋_GBK" w:eastAsia="方正仿宋_GBK"/>
          <w:color w:val="000000"/>
          <w:sz w:val="32"/>
        </w:rPr>
        <w:t xml:space="preserve">  本办法由市知识产权局负责解释。</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仿宋_GBK"/>
          <w:color w:val="000000"/>
          <w:sz w:val="32"/>
        </w:rPr>
      </w:pPr>
      <w:r>
        <w:rPr>
          <w:rFonts w:ascii="Times New Roman" w:hAnsi="Times New Roman" w:eastAsia="方正黑体_GBK"/>
          <w:color w:val="000000"/>
          <w:sz w:val="32"/>
        </w:rPr>
        <w:t>第十</w:t>
      </w:r>
      <w:r>
        <w:rPr>
          <w:rFonts w:hint="eastAsia" w:ascii="Times New Roman" w:hAnsi="Times New Roman" w:eastAsia="方正黑体_GBK"/>
          <w:color w:val="000000"/>
          <w:sz w:val="32"/>
        </w:rPr>
        <w:t>七</w:t>
      </w:r>
      <w:r>
        <w:rPr>
          <w:rFonts w:ascii="Times New Roman" w:hAnsi="Times New Roman" w:eastAsia="方正黑体_GBK"/>
          <w:color w:val="000000"/>
          <w:sz w:val="32"/>
        </w:rPr>
        <w:t>条</w:t>
      </w:r>
      <w:r>
        <w:rPr>
          <w:rFonts w:ascii="Times New Roman" w:hAnsi="Times New Roman" w:eastAsia="方正仿宋_GBK"/>
          <w:color w:val="000000"/>
          <w:sz w:val="32"/>
        </w:rPr>
        <w:t xml:space="preserve">  </w:t>
      </w:r>
      <w:r>
        <w:rPr>
          <w:rFonts w:hint="eastAsia" w:ascii="Times New Roman" w:hAnsi="Times New Roman" w:eastAsia="方正仿宋_GBK"/>
          <w:color w:val="000000"/>
          <w:sz w:val="32"/>
        </w:rPr>
        <w:t>本办法自印发之日起试行。</w:t>
      </w:r>
    </w:p>
    <w:p>
      <w:pPr>
        <w:spacing w:line="600" w:lineRule="exact"/>
        <w:ind w:firstLine="640" w:firstLineChars="200"/>
        <w:textAlignment w:val="baseline"/>
        <w:rPr>
          <w:rFonts w:ascii="Times New Roman" w:hAnsi="Times New Roman" w:eastAsia="方正仿宋_GBK"/>
          <w:sz w:val="32"/>
          <w:szCs w:val="32"/>
        </w:rPr>
      </w:pPr>
      <w:bookmarkStart w:id="0" w:name="_GoBack"/>
      <w:bookmarkEnd w:id="0"/>
    </w:p>
    <w:p>
      <w:pPr>
        <w:spacing w:line="600" w:lineRule="exact"/>
        <w:ind w:firstLine="640" w:firstLineChars="200"/>
        <w:textAlignment w:val="baseline"/>
        <w:rPr>
          <w:rFonts w:ascii="Times New Roman" w:hAnsi="Times New Roman" w:eastAsia="方正仿宋_GBK"/>
          <w:sz w:val="32"/>
          <w:szCs w:val="32"/>
        </w:rPr>
      </w:pPr>
    </w:p>
    <w:sectPr>
      <w:headerReference r:id="rId3" w:type="default"/>
      <w:footerReference r:id="rId4" w:type="default"/>
      <w:pgSz w:w="11906" w:h="16838"/>
      <w:pgMar w:top="1962" w:right="1474" w:bottom="1848" w:left="1588"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sz w:val="32"/>
      </w:rPr>
    </w:pPr>
    <w:r>
      <w:rPr>
        <w:sz w:val="32"/>
      </w:rPr>
      <mc:AlternateContent>
        <mc:Choice Requires="wps">
          <w:drawing>
            <wp:anchor distT="0" distB="0" distL="114300" distR="114300" simplePos="0" relativeHeight="2516480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4800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Cx2BxcUAgAAGwQAAA4AAAAAAAAAAQAgAAAANQEAAGRycy9lMm9Eb2MueG1sUEsFBgAAAAAGAAYA&#10;WQEAALs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p>
    <w:pPr>
      <w:pStyle w:val="8"/>
      <w:ind w:left="4788" w:leftChars="2280" w:firstLine="6425" w:firstLineChars="2000"/>
      <w:rPr>
        <w:sz w:val="32"/>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85725</wp:posOffset>
              </wp:positionV>
              <wp:extent cx="5620385" cy="0"/>
              <wp:effectExtent l="0" t="0" r="37465" b="19050"/>
              <wp:wrapNone/>
              <wp:docPr id="9" name="直接连接符 9"/>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6.75pt;height:0pt;width:442.55pt;z-index:251661312;mso-width-relative:page;mso-height-relative:page;" filled="f" stroked="t" coordsize="21600,21600" o:gfxdata="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EMAvcHTAAAABgEAAA8AAAAA&#10;AAAAAQAgAAAAOAAAAGRycy9kb3ducmV2LnhtbFBLAQIUABQAAAAIAIdO4kDZAcA9ygEAAGQDAAAO&#10;AAAAAAAAAAEAIAAAADgBAABkcnMvZTJvRG9jLnhtbFBLBQYAAAAABgAGAFkBAAB0BQAAAAA=&#10;">
              <v:fill on="f" focussize="0,0"/>
              <v:stroke weight="1.75pt" color="#005192 [3204]" miterlimit="8" joinstyle="miter"/>
              <v:imagedata o:title=""/>
              <o:lock v:ext="edit" aspectratio="f"/>
            </v:line>
          </w:pict>
        </mc:Fallback>
      </mc:AlternateContent>
    </w:r>
  </w:p>
  <w:p>
    <w:pPr>
      <w:pStyle w:val="8"/>
      <w:wordWrap w:val="0"/>
      <w:jc w:val="right"/>
      <w:rPr>
        <w:rFonts w:ascii="宋体" w:hAnsi="宋体" w:eastAsia="宋体" w:cs="宋体"/>
        <w:b/>
        <w:bCs/>
        <w:color w:val="005192"/>
        <w:sz w:val="28"/>
        <w:szCs w:val="44"/>
      </w:rPr>
    </w:pPr>
    <w:r>
      <w:rPr>
        <w:rFonts w:hint="eastAsia" w:ascii="宋体" w:hAnsi="宋体" w:eastAsia="宋体" w:cs="宋体"/>
        <w:b/>
        <w:bCs/>
        <w:color w:val="005192"/>
        <w:sz w:val="28"/>
        <w:szCs w:val="44"/>
        <w:lang w:eastAsia="zh-Hans"/>
      </w:rPr>
      <w:t>重庆市知识</w:t>
    </w:r>
    <w:r>
      <w:rPr>
        <w:rFonts w:ascii="宋体" w:hAnsi="宋体" w:eastAsia="宋体" w:cs="宋体"/>
        <w:b/>
        <w:bCs/>
        <w:color w:val="005192"/>
        <w:sz w:val="28"/>
        <w:szCs w:val="44"/>
        <w:lang w:eastAsia="zh-Hans"/>
      </w:rPr>
      <w:t>产权局</w:t>
    </w:r>
    <w:r>
      <w:rPr>
        <w:rFonts w:hint="eastAsia" w:ascii="宋体" w:hAnsi="宋体" w:eastAsia="宋体" w:cs="宋体"/>
        <w:b/>
        <w:bCs/>
        <w:color w:val="005192"/>
        <w:sz w:val="28"/>
        <w:szCs w:val="44"/>
      </w:rPr>
      <w:t>发布</w:t>
    </w:r>
    <w:r>
      <w:rPr>
        <w:rFonts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eastAsia="宋体" w:cs="宋体"/>
        <w:b/>
        <w:bCs/>
        <w:color w:val="005192"/>
        <w:sz w:val="32"/>
        <w:lang w:eastAsia="zh-Hans"/>
      </w:rPr>
    </w:pPr>
  </w:p>
  <w:p>
    <w:pPr>
      <w:pStyle w:val="8"/>
      <w:textAlignment w:val="center"/>
      <w:rPr>
        <w:rFonts w:ascii="宋体" w:hAnsi="宋体" w:eastAsia="宋体" w:cs="宋体"/>
        <w:b/>
        <w:bCs/>
        <w:color w:val="005192"/>
        <w:sz w:val="32"/>
        <w:szCs w:val="32"/>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49024" behindDoc="0" locked="0" layoutInCell="1" allowOverlap="1">
              <wp:simplePos x="0" y="0"/>
              <wp:positionH relativeFrom="column">
                <wp:posOffset>-8890</wp:posOffset>
              </wp:positionH>
              <wp:positionV relativeFrom="paragraph">
                <wp:posOffset>421005</wp:posOffset>
              </wp:positionV>
              <wp:extent cx="5620385" cy="0"/>
              <wp:effectExtent l="0" t="0" r="37465" b="1905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7pt;margin-top:33.15pt;height:0pt;width:442.55pt;z-index:251649024;mso-width-relative:page;mso-height-relative:page;" filled="f" stroked="t" coordsize="21600,21600" o:gfxdata="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CHVuvzVAAAACAEAAA8A&#10;AAAAAAAAAQAgAAAAOAAAAGRycy9kb3ducmV2LnhtbFBLAQIUABQAAAAIAIdO4kBMsxWgywEAAGQD&#10;AAAOAAAAAAAAAAEAIAAAADoBAABkcnMvZTJvRG9jLnhtbFBLBQYAAAAABgAGAFkBAAB3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12" name="图片 12"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12"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重庆市知识</w:t>
    </w:r>
    <w:r>
      <w:rPr>
        <w:rFonts w:ascii="宋体" w:hAnsi="宋体" w:eastAsia="宋体" w:cs="宋体"/>
        <w:b/>
        <w:bCs/>
        <w:color w:val="005192"/>
        <w:sz w:val="32"/>
        <w:lang w:eastAsia="zh-Hans"/>
      </w:rPr>
      <w:t>产权局行政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true"/>
  <w:bordersDoNotSurroundFooter w:val="true"/>
  <w:documentProtection w:enforcement="0"/>
  <w:defaultTabStop w:val="420"/>
  <w:drawingGridHorizontalSpacing w:val="105"/>
  <w:drawingGridVerticalSpacing w:val="158"/>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76C4"/>
    <w:rsid w:val="000E6C26"/>
    <w:rsid w:val="0012008D"/>
    <w:rsid w:val="00124067"/>
    <w:rsid w:val="00130CFC"/>
    <w:rsid w:val="00172A27"/>
    <w:rsid w:val="001B0F08"/>
    <w:rsid w:val="002226D1"/>
    <w:rsid w:val="002425C3"/>
    <w:rsid w:val="00242659"/>
    <w:rsid w:val="002F2F4C"/>
    <w:rsid w:val="00307932"/>
    <w:rsid w:val="00321A7B"/>
    <w:rsid w:val="00323F3D"/>
    <w:rsid w:val="00324CE0"/>
    <w:rsid w:val="00363738"/>
    <w:rsid w:val="00374A24"/>
    <w:rsid w:val="003B7E72"/>
    <w:rsid w:val="003C5192"/>
    <w:rsid w:val="003E712B"/>
    <w:rsid w:val="00405E6A"/>
    <w:rsid w:val="00410D1F"/>
    <w:rsid w:val="0042104D"/>
    <w:rsid w:val="00441A7A"/>
    <w:rsid w:val="0045070F"/>
    <w:rsid w:val="00453CA6"/>
    <w:rsid w:val="00454DF3"/>
    <w:rsid w:val="00482A3D"/>
    <w:rsid w:val="004845BC"/>
    <w:rsid w:val="00495AED"/>
    <w:rsid w:val="004E3CAC"/>
    <w:rsid w:val="00511FFA"/>
    <w:rsid w:val="00515E4A"/>
    <w:rsid w:val="00581C47"/>
    <w:rsid w:val="005F7CFE"/>
    <w:rsid w:val="00611C2F"/>
    <w:rsid w:val="006733F1"/>
    <w:rsid w:val="006A514A"/>
    <w:rsid w:val="006C7A69"/>
    <w:rsid w:val="006D1E6A"/>
    <w:rsid w:val="006E080B"/>
    <w:rsid w:val="006E42AC"/>
    <w:rsid w:val="00711BE4"/>
    <w:rsid w:val="007A104C"/>
    <w:rsid w:val="007C001C"/>
    <w:rsid w:val="007E20F0"/>
    <w:rsid w:val="007F507E"/>
    <w:rsid w:val="00851CC2"/>
    <w:rsid w:val="00866EC2"/>
    <w:rsid w:val="009C4E9A"/>
    <w:rsid w:val="009C6830"/>
    <w:rsid w:val="00A44E47"/>
    <w:rsid w:val="00AB159C"/>
    <w:rsid w:val="00AD6C6D"/>
    <w:rsid w:val="00AE23A7"/>
    <w:rsid w:val="00AF1CC4"/>
    <w:rsid w:val="00B05DB6"/>
    <w:rsid w:val="00B31FF0"/>
    <w:rsid w:val="00BB5142"/>
    <w:rsid w:val="00BD65A2"/>
    <w:rsid w:val="00BD7F0E"/>
    <w:rsid w:val="00BF0319"/>
    <w:rsid w:val="00C17FBC"/>
    <w:rsid w:val="00C3599F"/>
    <w:rsid w:val="00C61217"/>
    <w:rsid w:val="00C91DF8"/>
    <w:rsid w:val="00CB290B"/>
    <w:rsid w:val="00D2343D"/>
    <w:rsid w:val="00D566B8"/>
    <w:rsid w:val="00DE57A3"/>
    <w:rsid w:val="00DF6ED1"/>
    <w:rsid w:val="00E36B82"/>
    <w:rsid w:val="00E47DE1"/>
    <w:rsid w:val="00EB31AE"/>
    <w:rsid w:val="00ED372A"/>
    <w:rsid w:val="00ED602F"/>
    <w:rsid w:val="00F54B6C"/>
    <w:rsid w:val="00F93931"/>
    <w:rsid w:val="00FB185F"/>
    <w:rsid w:val="00FE426B"/>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2F74A39C"/>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7FABDE"/>
    <w:rsid w:val="5FCD688E"/>
    <w:rsid w:val="5FF9BDAA"/>
    <w:rsid w:val="608816D1"/>
    <w:rsid w:val="60EF4E7F"/>
    <w:rsid w:val="648B0A32"/>
    <w:rsid w:val="658F6764"/>
    <w:rsid w:val="665233C1"/>
    <w:rsid w:val="69AC0D42"/>
    <w:rsid w:val="6AD9688B"/>
    <w:rsid w:val="6B68303F"/>
    <w:rsid w:val="6C7910EB"/>
    <w:rsid w:val="6D0E3F22"/>
    <w:rsid w:val="6DB6D6B6"/>
    <w:rsid w:val="6DEB35F5"/>
    <w:rsid w:val="744E4660"/>
    <w:rsid w:val="753355A2"/>
    <w:rsid w:val="759F1C61"/>
    <w:rsid w:val="769F2DE8"/>
    <w:rsid w:val="76FDEB7C"/>
    <w:rsid w:val="79C65162"/>
    <w:rsid w:val="79EE7E31"/>
    <w:rsid w:val="79FB12F5"/>
    <w:rsid w:val="7C9011D9"/>
    <w:rsid w:val="7CF26D3A"/>
    <w:rsid w:val="7DC651C5"/>
    <w:rsid w:val="7DFCA1B4"/>
    <w:rsid w:val="7F6EDE0A"/>
    <w:rsid w:val="7FA70159"/>
    <w:rsid w:val="7FCC2834"/>
    <w:rsid w:val="7FD76A0A"/>
    <w:rsid w:val="7FDB4398"/>
    <w:rsid w:val="7FDEA94A"/>
    <w:rsid w:val="7FFD2AD6"/>
    <w:rsid w:val="92DD1CEF"/>
    <w:rsid w:val="BD9D1569"/>
    <w:rsid w:val="BEFF47A3"/>
    <w:rsid w:val="BFDEB0EE"/>
    <w:rsid w:val="DEFF7FC0"/>
    <w:rsid w:val="DFBB0297"/>
    <w:rsid w:val="E96F5FEA"/>
    <w:rsid w:val="EBDDA9D0"/>
    <w:rsid w:val="EF525BEA"/>
    <w:rsid w:val="EFAEADCE"/>
    <w:rsid w:val="EFFFC880"/>
    <w:rsid w:val="F05B4F69"/>
    <w:rsid w:val="F3B47C3B"/>
    <w:rsid w:val="F7F902F6"/>
    <w:rsid w:val="F97D9566"/>
    <w:rsid w:val="F9EC6D0D"/>
    <w:rsid w:val="FD7FED03"/>
    <w:rsid w:val="FDFF411C"/>
    <w:rsid w:val="FFB81C6E"/>
    <w:rsid w:val="FFEB8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方正仿宋_GBK"/>
      <w:sz w:val="32"/>
    </w:rPr>
  </w:style>
  <w:style w:type="paragraph" w:styleId="4">
    <w:name w:val="annotation text"/>
    <w:basedOn w:val="1"/>
    <w:qFormat/>
    <w:uiPriority w:val="0"/>
    <w:pPr>
      <w:jc w:val="left"/>
    </w:pPr>
  </w:style>
  <w:style w:type="paragraph" w:styleId="5">
    <w:name w:val="Date"/>
    <w:basedOn w:val="1"/>
    <w:next w:val="1"/>
    <w:link w:val="18"/>
    <w:qFormat/>
    <w:uiPriority w:val="0"/>
    <w:pPr>
      <w:ind w:left="100" w:leftChars="2500"/>
    </w:pPr>
  </w:style>
  <w:style w:type="paragraph" w:styleId="6">
    <w:name w:val="Balloon Text"/>
    <w:basedOn w:val="1"/>
    <w:link w:val="16"/>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39"/>
    <w:rPr>
      <w:rFonts w:ascii="Calibri" w:hAnsi="Calibri"/>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annotation reference"/>
    <w:basedOn w:val="12"/>
    <w:qFormat/>
    <w:uiPriority w:val="0"/>
    <w:rPr>
      <w:sz w:val="21"/>
      <w:szCs w:val="21"/>
    </w:rPr>
  </w:style>
  <w:style w:type="paragraph" w:customStyle="1" w:styleId="15">
    <w:name w:val="p0"/>
    <w:basedOn w:val="1"/>
    <w:qFormat/>
    <w:uiPriority w:val="0"/>
    <w:pPr>
      <w:widowControl/>
    </w:pPr>
    <w:rPr>
      <w:rFonts w:ascii="Calibri" w:hAnsi="Calibri" w:eastAsia="宋体" w:cs="宋体"/>
      <w:kern w:val="0"/>
      <w:szCs w:val="32"/>
    </w:rPr>
  </w:style>
  <w:style w:type="character" w:customStyle="1" w:styleId="16">
    <w:name w:val="批注框文本 字符"/>
    <w:basedOn w:val="12"/>
    <w:link w:val="6"/>
    <w:qFormat/>
    <w:uiPriority w:val="0"/>
    <w:rPr>
      <w:rFonts w:asciiTheme="minorHAnsi" w:hAnsiTheme="minorHAnsi" w:eastAsiaTheme="minorEastAsia" w:cstheme="minorBidi"/>
      <w:kern w:val="2"/>
      <w:sz w:val="18"/>
      <w:szCs w:val="18"/>
    </w:rPr>
  </w:style>
  <w:style w:type="paragraph" w:customStyle="1" w:styleId="17">
    <w:name w:val="Default"/>
    <w:unhideWhenUsed/>
    <w:qFormat/>
    <w:uiPriority w:val="99"/>
    <w:pPr>
      <w:widowControl w:val="0"/>
      <w:autoSpaceDE w:val="0"/>
      <w:autoSpaceDN w:val="0"/>
      <w:adjustRightInd w:val="0"/>
    </w:pPr>
    <w:rPr>
      <w:rFonts w:hint="eastAsia" w:ascii="方正黑体_GBK" w:hAnsi="方正黑体_GBK" w:eastAsia="方正仿宋_GBK" w:cs="Times New Roman"/>
      <w:color w:val="000000"/>
      <w:sz w:val="32"/>
      <w:szCs w:val="22"/>
      <w:lang w:val="en-US" w:eastAsia="zh-CN" w:bidi="ar-SA"/>
    </w:rPr>
  </w:style>
  <w:style w:type="character" w:customStyle="1" w:styleId="18">
    <w:name w:val="日期 字符"/>
    <w:basedOn w:val="12"/>
    <w:link w:val="5"/>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ICOS</Company>
  <Pages>7</Pages>
  <Words>412</Words>
  <Characters>2352</Characters>
  <Lines>19</Lines>
  <Paragraphs>5</Paragraphs>
  <TotalTime>1</TotalTime>
  <ScaleCrop>false</ScaleCrop>
  <LinksUpToDate>false</LinksUpToDate>
  <CharactersWithSpaces>2759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2021-09-12T10:41:00Z</dcterms:created>
  <dc:creator>t</dc:creator>
  <cp:lastModifiedBy>greatwall</cp:lastModifiedBy>
  <cp:lastPrinted>2022-06-08T00:09:00Z</cp:lastPrinted>
  <dcterms:modified xsi:type="dcterms:W3CDTF">2024-02-07T15:32:33Z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48C61CB29D3F4D9384F5922CF0F7FFB4</vt:lpwstr>
  </property>
</Properties>
</file>